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9AE5C" w14:textId="77777777" w:rsidR="00036587" w:rsidRPr="005B2A57" w:rsidRDefault="00C50426" w:rsidP="00A50A74">
      <w:pPr>
        <w:spacing w:after="0" w:line="480" w:lineRule="auto"/>
        <w:rPr>
          <w:rFonts w:ascii="Times New Roman" w:hAnsi="Times New Roman" w:cs="Times New Roman"/>
          <w:b/>
          <w:sz w:val="24"/>
          <w:szCs w:val="24"/>
          <w:lang w:val="en-US"/>
        </w:rPr>
      </w:pPr>
      <w:r w:rsidRPr="005B2A57">
        <w:rPr>
          <w:rFonts w:ascii="Times New Roman" w:hAnsi="Times New Roman" w:cs="Times New Roman"/>
          <w:b/>
          <w:sz w:val="24"/>
          <w:szCs w:val="24"/>
          <w:lang w:val="en-US"/>
        </w:rPr>
        <w:t xml:space="preserve">Title: </w:t>
      </w:r>
    </w:p>
    <w:p w14:paraId="5162D92F" w14:textId="77777777"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Online pre-events during the Covid-19 pandemic</w:t>
      </w:r>
    </w:p>
    <w:p w14:paraId="5832D124" w14:textId="77777777" w:rsidR="00036587" w:rsidRPr="005B2A57" w:rsidRDefault="00036587" w:rsidP="00A50A74">
      <w:pPr>
        <w:spacing w:after="0" w:line="480" w:lineRule="auto"/>
        <w:rPr>
          <w:rFonts w:ascii="Times New Roman" w:hAnsi="Times New Roman" w:cs="Times New Roman"/>
          <w:sz w:val="24"/>
          <w:szCs w:val="24"/>
          <w:lang w:val="en-US"/>
        </w:rPr>
      </w:pPr>
    </w:p>
    <w:p w14:paraId="308E2F97" w14:textId="77777777" w:rsidR="00036587" w:rsidRPr="005B2A57" w:rsidRDefault="00C50426" w:rsidP="00A50A74">
      <w:pPr>
        <w:spacing w:after="0" w:line="480" w:lineRule="auto"/>
        <w:rPr>
          <w:rFonts w:ascii="Times New Roman" w:hAnsi="Times New Roman" w:cs="Times New Roman"/>
          <w:b/>
          <w:sz w:val="24"/>
          <w:szCs w:val="24"/>
          <w:lang w:val="en-US"/>
        </w:rPr>
      </w:pPr>
      <w:r w:rsidRPr="005B2A57">
        <w:rPr>
          <w:rFonts w:ascii="Times New Roman" w:hAnsi="Times New Roman" w:cs="Times New Roman"/>
          <w:b/>
          <w:sz w:val="24"/>
          <w:szCs w:val="24"/>
          <w:lang w:val="en-US"/>
        </w:rPr>
        <w:t>Abstract:</w:t>
      </w:r>
    </w:p>
    <w:p w14:paraId="59C481B4" w14:textId="537E4A13"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 xml:space="preserve">In the wake of the COVID-19 pandemic, mega events such as the Olympics and Expo have been postponed, prolonging the build-up phase and thus the opportunity to </w:t>
      </w:r>
      <w:proofErr w:type="spellStart"/>
      <w:r w:rsidRPr="005B2A57">
        <w:rPr>
          <w:rFonts w:ascii="Times New Roman" w:hAnsi="Times New Roman" w:cs="Times New Roman"/>
          <w:sz w:val="24"/>
          <w:szCs w:val="24"/>
          <w:lang w:val="en-US"/>
        </w:rPr>
        <w:t>organise</w:t>
      </w:r>
      <w:proofErr w:type="spellEnd"/>
      <w:r w:rsidRPr="005B2A57">
        <w:rPr>
          <w:rFonts w:ascii="Times New Roman" w:hAnsi="Times New Roman" w:cs="Times New Roman"/>
          <w:sz w:val="24"/>
          <w:szCs w:val="24"/>
          <w:lang w:val="en-US"/>
        </w:rPr>
        <w:t xml:space="preserve"> pre-events. Covid restrictions and limitations on movement have forced these pre-events </w:t>
      </w:r>
      <w:r w:rsidRPr="005B2A57">
        <w:rPr>
          <w:rFonts w:ascii="Times New Roman" w:hAnsi="Times New Roman" w:cs="Times New Roman"/>
          <w:sz w:val="24"/>
          <w:szCs w:val="24"/>
          <w:lang w:val="en-US"/>
        </w:rPr>
        <w:t xml:space="preserve">online. Examining the case of pre-events leading up to Dubai EXPO 2020, </w:t>
      </w:r>
      <w:r w:rsidRPr="005B2A57">
        <w:rPr>
          <w:rFonts w:ascii="Times New Roman" w:hAnsi="Times New Roman" w:cs="Times New Roman"/>
          <w:sz w:val="24"/>
          <w:szCs w:val="24"/>
          <w:lang w:val="en-US"/>
        </w:rPr>
        <w:t>we argue that, as an emerging and growing phenomenon, pre-events create spaces for experimenting and re-engineering new communication approaches. Applying a typology of pre-events bas</w:t>
      </w:r>
      <w:r w:rsidRPr="005B2A57">
        <w:rPr>
          <w:rFonts w:ascii="Times New Roman" w:hAnsi="Times New Roman" w:cs="Times New Roman"/>
          <w:sz w:val="24"/>
          <w:szCs w:val="24"/>
          <w:lang w:val="en-US"/>
        </w:rPr>
        <w:t>ed on format, function, audiences and interactivity, our analysis shows that the main roles of pre-events are to engage with stakeholders, create and re-present event narratives, and plan the main event. Despite the possibility provided by digital platform</w:t>
      </w:r>
      <w:r w:rsidRPr="005B2A57">
        <w:rPr>
          <w:rFonts w:ascii="Times New Roman" w:hAnsi="Times New Roman" w:cs="Times New Roman"/>
          <w:sz w:val="24"/>
          <w:szCs w:val="24"/>
          <w:lang w:val="en-US"/>
        </w:rPr>
        <w:t>s and the growing acceptance by publics of online formats such as webinars and online forums, pre-events usually lack interactivity, even when the aim is to engage publics. Our findings indicate that the explicit functions and goals of these pre-events are</w:t>
      </w:r>
      <w:r w:rsidRPr="005B2A57">
        <w:rPr>
          <w:rFonts w:ascii="Times New Roman" w:hAnsi="Times New Roman" w:cs="Times New Roman"/>
          <w:sz w:val="24"/>
          <w:szCs w:val="24"/>
          <w:lang w:val="en-US"/>
        </w:rPr>
        <w:t xml:space="preserve"> rarely articulated by </w:t>
      </w:r>
      <w:r w:rsidR="003C48B5" w:rsidRPr="005B2A57">
        <w:rPr>
          <w:rFonts w:ascii="Times New Roman" w:hAnsi="Times New Roman" w:cs="Times New Roman"/>
          <w:sz w:val="24"/>
          <w:szCs w:val="24"/>
          <w:lang w:val="en-US"/>
        </w:rPr>
        <w:t>organizers</w:t>
      </w:r>
      <w:r w:rsidRPr="005B2A57">
        <w:rPr>
          <w:rFonts w:ascii="Times New Roman" w:hAnsi="Times New Roman" w:cs="Times New Roman"/>
          <w:sz w:val="24"/>
          <w:szCs w:val="24"/>
          <w:lang w:val="en-US"/>
        </w:rPr>
        <w:t xml:space="preserve">, despite their popularity. The article not only contributes to our knowledge about this promotional phenomenon, but also provides recommendations for practitioners developing pre-events. </w:t>
      </w:r>
    </w:p>
    <w:p w14:paraId="62B0CC07" w14:textId="77777777" w:rsidR="00036587" w:rsidRPr="005B2A57" w:rsidRDefault="00036587" w:rsidP="00A50A74">
      <w:pPr>
        <w:spacing w:after="0" w:line="480" w:lineRule="auto"/>
        <w:rPr>
          <w:rFonts w:ascii="Times New Roman" w:hAnsi="Times New Roman" w:cs="Times New Roman"/>
          <w:sz w:val="24"/>
          <w:szCs w:val="24"/>
          <w:lang w:val="en-US"/>
        </w:rPr>
      </w:pPr>
    </w:p>
    <w:p w14:paraId="33900920" w14:textId="77777777" w:rsidR="00036587" w:rsidRPr="005B2A57" w:rsidRDefault="00C50426" w:rsidP="00A50A74">
      <w:pPr>
        <w:spacing w:after="0" w:line="480" w:lineRule="auto"/>
        <w:rPr>
          <w:rFonts w:ascii="Times New Roman" w:hAnsi="Times New Roman" w:cs="Times New Roman"/>
          <w:b/>
          <w:sz w:val="24"/>
          <w:szCs w:val="24"/>
          <w:lang w:val="en-US"/>
        </w:rPr>
      </w:pPr>
      <w:r w:rsidRPr="005B2A57">
        <w:rPr>
          <w:rFonts w:ascii="Times New Roman" w:hAnsi="Times New Roman" w:cs="Times New Roman"/>
          <w:b/>
          <w:sz w:val="24"/>
          <w:szCs w:val="24"/>
          <w:lang w:val="en-US"/>
        </w:rPr>
        <w:t>Keywords:</w:t>
      </w:r>
    </w:p>
    <w:p w14:paraId="1987FFFB" w14:textId="192CFFEC"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 xml:space="preserve">pre-event, mega event, </w:t>
      </w:r>
      <w:r w:rsidRPr="005B2A57">
        <w:rPr>
          <w:rFonts w:ascii="Times New Roman" w:hAnsi="Times New Roman" w:cs="Times New Roman"/>
          <w:sz w:val="24"/>
          <w:szCs w:val="24"/>
          <w:lang w:val="en-US"/>
        </w:rPr>
        <w:t>expo, Covid-19</w:t>
      </w:r>
    </w:p>
    <w:p w14:paraId="117409C4" w14:textId="77777777" w:rsidR="00036587" w:rsidRPr="005B2A57" w:rsidRDefault="00036587" w:rsidP="00A50A74">
      <w:pPr>
        <w:spacing w:after="0" w:line="480" w:lineRule="auto"/>
        <w:rPr>
          <w:rFonts w:ascii="Times New Roman" w:hAnsi="Times New Roman" w:cs="Times New Roman"/>
          <w:sz w:val="24"/>
          <w:szCs w:val="24"/>
          <w:lang w:val="en-US"/>
        </w:rPr>
      </w:pPr>
    </w:p>
    <w:p w14:paraId="4FFDA74F" w14:textId="3D30EE26" w:rsidR="00036587" w:rsidRPr="005B2A57" w:rsidRDefault="00C50426" w:rsidP="00A50A74">
      <w:pPr>
        <w:spacing w:after="0" w:line="480" w:lineRule="auto"/>
        <w:rPr>
          <w:rFonts w:ascii="Times New Roman" w:hAnsi="Times New Roman" w:cs="Times New Roman"/>
          <w:b/>
          <w:sz w:val="24"/>
          <w:szCs w:val="24"/>
          <w:lang w:val="en-US"/>
        </w:rPr>
      </w:pPr>
      <w:r w:rsidRPr="005B2A57">
        <w:rPr>
          <w:rFonts w:ascii="Times New Roman" w:hAnsi="Times New Roman" w:cs="Times New Roman"/>
          <w:b/>
          <w:sz w:val="24"/>
          <w:szCs w:val="24"/>
          <w:lang w:val="en-US"/>
        </w:rPr>
        <w:t>Introduction</w:t>
      </w:r>
    </w:p>
    <w:p w14:paraId="510871B7" w14:textId="7FF888FD" w:rsidR="00036587" w:rsidRPr="005B2A57" w:rsidRDefault="00C50426" w:rsidP="00A50A74">
      <w:pPr>
        <w:spacing w:after="0" w:line="480" w:lineRule="auto"/>
        <w:rPr>
          <w:rFonts w:ascii="Times New Roman" w:hAnsi="Times New Roman" w:cs="Times New Roman"/>
          <w:color w:val="222222"/>
          <w:sz w:val="24"/>
          <w:szCs w:val="24"/>
          <w:lang w:val="en-US"/>
        </w:rPr>
      </w:pPr>
      <w:r w:rsidRPr="005B2A57">
        <w:rPr>
          <w:rFonts w:ascii="Times New Roman" w:hAnsi="Times New Roman" w:cs="Times New Roman"/>
          <w:sz w:val="24"/>
          <w:szCs w:val="24"/>
          <w:lang w:val="en-US"/>
        </w:rPr>
        <w:t xml:space="preserve">The COVID-19 pandemic – an ongoing global health emergency that has revealed “fractures in the fragile skeleton of the societies we have built” (Guterres in </w:t>
      </w:r>
      <w:proofErr w:type="spellStart"/>
      <w:r w:rsidRPr="005B2A57">
        <w:rPr>
          <w:rFonts w:ascii="Times New Roman" w:hAnsi="Times New Roman" w:cs="Times New Roman"/>
          <w:sz w:val="24"/>
          <w:szCs w:val="24"/>
          <w:lang w:val="en-US"/>
        </w:rPr>
        <w:t>Katongole</w:t>
      </w:r>
      <w:proofErr w:type="spellEnd"/>
      <w:r w:rsidRPr="005B2A57">
        <w:rPr>
          <w:rFonts w:ascii="Times New Roman" w:hAnsi="Times New Roman" w:cs="Times New Roman"/>
          <w:sz w:val="24"/>
          <w:szCs w:val="24"/>
          <w:lang w:val="en-US"/>
        </w:rPr>
        <w:t xml:space="preserve">, 2020) – </w:t>
      </w:r>
      <w:r w:rsidRPr="005B2A57">
        <w:rPr>
          <w:rFonts w:ascii="Times New Roman" w:hAnsi="Times New Roman" w:cs="Times New Roman"/>
          <w:sz w:val="24"/>
          <w:szCs w:val="24"/>
          <w:lang w:val="en-US"/>
        </w:rPr>
        <w:lastRenderedPageBreak/>
        <w:t>continues to force individuals and groups to chan</w:t>
      </w:r>
      <w:r w:rsidRPr="005B2A57">
        <w:rPr>
          <w:rFonts w:ascii="Times New Roman" w:hAnsi="Times New Roman" w:cs="Times New Roman"/>
          <w:sz w:val="24"/>
          <w:szCs w:val="24"/>
          <w:lang w:val="en-US"/>
        </w:rPr>
        <w:t>ge their socio-cultural practices, among them the organization</w:t>
      </w:r>
      <w:r w:rsidRPr="005B2A57">
        <w:rPr>
          <w:rFonts w:ascii="Times New Roman" w:hAnsi="Times New Roman" w:cs="Times New Roman"/>
          <w:sz w:val="24"/>
          <w:szCs w:val="24"/>
          <w:lang w:val="en-US"/>
        </w:rPr>
        <w:t xml:space="preserve"> of events.</w:t>
      </w:r>
      <w:r w:rsidRPr="005B2A57">
        <w:rPr>
          <w:rFonts w:ascii="Times New Roman" w:hAnsi="Times New Roman" w:cs="Times New Roman"/>
          <w:color w:val="222222"/>
          <w:sz w:val="24"/>
          <w:szCs w:val="24"/>
          <w:lang w:val="en-US"/>
        </w:rPr>
        <w:t xml:space="preserve"> Organizers</w:t>
      </w:r>
      <w:r w:rsidRPr="005B2A57">
        <w:rPr>
          <w:rFonts w:ascii="Times New Roman" w:hAnsi="Times New Roman" w:cs="Times New Roman"/>
          <w:color w:val="222222"/>
          <w:sz w:val="24"/>
          <w:szCs w:val="24"/>
          <w:lang w:val="en-US"/>
        </w:rPr>
        <w:t xml:space="preserve"> have to re-engineer practices, policies, and modalities. All kinds of events have been impacted, including sport mega events such as the Euro Cup 2020 and the Olympics 202</w:t>
      </w:r>
      <w:r w:rsidRPr="005B2A57">
        <w:rPr>
          <w:rFonts w:ascii="Times New Roman" w:hAnsi="Times New Roman" w:cs="Times New Roman"/>
          <w:color w:val="222222"/>
          <w:sz w:val="24"/>
          <w:szCs w:val="24"/>
          <w:lang w:val="en-US"/>
        </w:rPr>
        <w:t>0 and international exhibitions such as Expo 2020. In order to tackle the challenges brought by the pandemic, organizers</w:t>
      </w:r>
      <w:r w:rsidRPr="005B2A57">
        <w:rPr>
          <w:rFonts w:ascii="Times New Roman" w:hAnsi="Times New Roman" w:cs="Times New Roman"/>
          <w:color w:val="222222"/>
          <w:sz w:val="24"/>
          <w:szCs w:val="24"/>
          <w:lang w:val="en-US"/>
        </w:rPr>
        <w:t xml:space="preserve"> have created Olympics “bubbles” for athletes, new protocols (e.g. social distancing, mask-wearing, limits of crowds etc.) and banned sp</w:t>
      </w:r>
      <w:r w:rsidRPr="005B2A57">
        <w:rPr>
          <w:rFonts w:ascii="Times New Roman" w:hAnsi="Times New Roman" w:cs="Times New Roman"/>
          <w:color w:val="222222"/>
          <w:sz w:val="24"/>
          <w:szCs w:val="24"/>
          <w:lang w:val="en-US"/>
        </w:rPr>
        <w:t>ectators from events.</w:t>
      </w:r>
    </w:p>
    <w:p w14:paraId="4BFF6886" w14:textId="77777777" w:rsidR="00036587" w:rsidRPr="005B2A57" w:rsidRDefault="00036587" w:rsidP="00A50A74">
      <w:pPr>
        <w:spacing w:after="0" w:line="480" w:lineRule="auto"/>
        <w:rPr>
          <w:rFonts w:ascii="Times New Roman" w:hAnsi="Times New Roman" w:cs="Times New Roman"/>
          <w:sz w:val="24"/>
          <w:szCs w:val="24"/>
          <w:lang w:val="en-US"/>
        </w:rPr>
      </w:pPr>
    </w:p>
    <w:p w14:paraId="2059BDDD" w14:textId="77777777"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The pandemic has also affected pre-events, which were steadily becoming increasingly valuable promotional tools, but have become even more important due to the impacts of lockdowns and border closures that have kept individuals and g</w:t>
      </w:r>
      <w:r w:rsidRPr="005B2A57">
        <w:rPr>
          <w:rFonts w:ascii="Times New Roman" w:hAnsi="Times New Roman" w:cs="Times New Roman"/>
          <w:sz w:val="24"/>
          <w:szCs w:val="24"/>
          <w:lang w:val="en-US"/>
        </w:rPr>
        <w:t>roups sequestered within their home communities. In straightforward terms, pre-events can be understood simply as “opportunities that event planners can create for people to share time together before … the [main] event” (</w:t>
      </w:r>
      <w:proofErr w:type="spellStart"/>
      <w:r w:rsidRPr="005B2A57">
        <w:rPr>
          <w:rFonts w:ascii="Times New Roman" w:hAnsi="Times New Roman" w:cs="Times New Roman"/>
          <w:sz w:val="24"/>
          <w:szCs w:val="24"/>
          <w:lang w:val="en-US"/>
        </w:rPr>
        <w:t>Chalip</w:t>
      </w:r>
      <w:proofErr w:type="spellEnd"/>
      <w:r w:rsidRPr="005B2A57">
        <w:rPr>
          <w:rFonts w:ascii="Times New Roman" w:hAnsi="Times New Roman" w:cs="Times New Roman"/>
          <w:sz w:val="24"/>
          <w:szCs w:val="24"/>
          <w:lang w:val="en-US"/>
        </w:rPr>
        <w:t>, 2004). In more complex ter</w:t>
      </w:r>
      <w:r w:rsidRPr="005B2A57">
        <w:rPr>
          <w:rFonts w:ascii="Times New Roman" w:hAnsi="Times New Roman" w:cs="Times New Roman"/>
          <w:sz w:val="24"/>
          <w:szCs w:val="24"/>
          <w:lang w:val="en-US"/>
        </w:rPr>
        <w:t>ms, drawing on the event studies definition of planned events developed by Getz and Page (2020, p. 58), a pre-event can be defined as a live social event, held before a more significant corresponding event, that is purposefully created, designed and implem</w:t>
      </w:r>
      <w:r w:rsidRPr="005B2A57">
        <w:rPr>
          <w:rFonts w:ascii="Times New Roman" w:hAnsi="Times New Roman" w:cs="Times New Roman"/>
          <w:sz w:val="24"/>
          <w:szCs w:val="24"/>
          <w:lang w:val="en-US"/>
        </w:rPr>
        <w:t>ented to achieve specific outcomes. Examples of pre-events include mixed gender team events prior to the Olympic Games in Tokyo in 2021 or pre-tournament friendlies in preparation of the European and World soccer cup.</w:t>
      </w:r>
    </w:p>
    <w:p w14:paraId="2DD59151" w14:textId="77777777" w:rsidR="00036587" w:rsidRPr="005B2A57" w:rsidRDefault="00036587" w:rsidP="00A50A74">
      <w:pPr>
        <w:spacing w:after="0" w:line="480" w:lineRule="auto"/>
        <w:rPr>
          <w:rFonts w:ascii="Times New Roman" w:hAnsi="Times New Roman" w:cs="Times New Roman"/>
          <w:sz w:val="24"/>
          <w:szCs w:val="24"/>
          <w:lang w:val="en-US"/>
        </w:rPr>
      </w:pPr>
    </w:p>
    <w:p w14:paraId="75349595" w14:textId="7741E8F4" w:rsidR="00036587" w:rsidRPr="005B2A57" w:rsidRDefault="00C50426" w:rsidP="00A50A74">
      <w:pPr>
        <w:spacing w:after="0" w:line="480" w:lineRule="auto"/>
        <w:rPr>
          <w:rFonts w:ascii="Times New Roman" w:hAnsi="Times New Roman" w:cs="Times New Roman"/>
          <w:color w:val="222222"/>
          <w:sz w:val="24"/>
          <w:szCs w:val="24"/>
          <w:highlight w:val="yellow"/>
          <w:lang w:val="en-US"/>
        </w:rPr>
      </w:pPr>
      <w:r w:rsidRPr="005B2A57">
        <w:rPr>
          <w:rFonts w:ascii="Times New Roman" w:hAnsi="Times New Roman" w:cs="Times New Roman"/>
          <w:sz w:val="24"/>
          <w:szCs w:val="24"/>
          <w:lang w:val="en-US"/>
        </w:rPr>
        <w:t>Practitioner commentary about the pre</w:t>
      </w:r>
      <w:r w:rsidRPr="005B2A57">
        <w:rPr>
          <w:rFonts w:ascii="Times New Roman" w:hAnsi="Times New Roman" w:cs="Times New Roman"/>
          <w:sz w:val="24"/>
          <w:szCs w:val="24"/>
          <w:lang w:val="en-US"/>
        </w:rPr>
        <w:t>-event is also continuing to grow as event organizers</w:t>
      </w:r>
      <w:r w:rsidRPr="005B2A57">
        <w:rPr>
          <w:rFonts w:ascii="Times New Roman" w:hAnsi="Times New Roman" w:cs="Times New Roman"/>
          <w:sz w:val="24"/>
          <w:szCs w:val="24"/>
          <w:lang w:val="en-US"/>
        </w:rPr>
        <w:t xml:space="preserve"> around the world increasingly use this promotional tool. A significant amount of that commentary offers advice for other practitioners wishing to undertake pre-events. For instance, </w:t>
      </w:r>
      <w:proofErr w:type="spellStart"/>
      <w:r w:rsidRPr="005B2A57">
        <w:rPr>
          <w:rFonts w:ascii="Times New Roman" w:hAnsi="Times New Roman" w:cs="Times New Roman"/>
          <w:sz w:val="24"/>
          <w:szCs w:val="24"/>
          <w:lang w:val="en-US"/>
        </w:rPr>
        <w:t>Sheth</w:t>
      </w:r>
      <w:proofErr w:type="spellEnd"/>
      <w:r w:rsidRPr="005B2A57">
        <w:rPr>
          <w:rFonts w:ascii="Times New Roman" w:hAnsi="Times New Roman" w:cs="Times New Roman"/>
          <w:sz w:val="24"/>
          <w:szCs w:val="24"/>
          <w:lang w:val="en-US"/>
        </w:rPr>
        <w:t xml:space="preserve"> (2018), provid</w:t>
      </w:r>
      <w:r w:rsidRPr="005B2A57">
        <w:rPr>
          <w:rFonts w:ascii="Times New Roman" w:hAnsi="Times New Roman" w:cs="Times New Roman"/>
          <w:sz w:val="24"/>
          <w:szCs w:val="24"/>
          <w:lang w:val="en-US"/>
        </w:rPr>
        <w:t xml:space="preserve">ing “takeaways” from the MOVE Global Mobility Summit 2018, writes: “With planners who opt for pre-events within their event promotion strategy, it </w:t>
      </w:r>
      <w:r w:rsidRPr="005B2A57">
        <w:rPr>
          <w:rFonts w:ascii="Times New Roman" w:hAnsi="Times New Roman" w:cs="Times New Roman"/>
          <w:sz w:val="24"/>
          <w:szCs w:val="24"/>
          <w:lang w:val="en-US"/>
        </w:rPr>
        <w:lastRenderedPageBreak/>
        <w:t>is a must to categorize and leverage all these events accordingly. Taking the example of the MOVE Summit, all</w:t>
      </w:r>
      <w:r w:rsidRPr="005B2A57">
        <w:rPr>
          <w:rFonts w:ascii="Times New Roman" w:hAnsi="Times New Roman" w:cs="Times New Roman"/>
          <w:sz w:val="24"/>
          <w:szCs w:val="24"/>
          <w:lang w:val="en-US"/>
        </w:rPr>
        <w:t xml:space="preserve"> the pre-events had a separate space on the main event’s website.” On the whole, </w:t>
      </w:r>
      <w:proofErr w:type="spellStart"/>
      <w:r w:rsidRPr="005B2A57">
        <w:rPr>
          <w:rFonts w:ascii="Times New Roman" w:hAnsi="Times New Roman" w:cs="Times New Roman"/>
          <w:sz w:val="24"/>
          <w:szCs w:val="24"/>
          <w:lang w:val="en-US"/>
        </w:rPr>
        <w:t>Sheth</w:t>
      </w:r>
      <w:proofErr w:type="spellEnd"/>
      <w:r w:rsidRPr="005B2A57">
        <w:rPr>
          <w:rFonts w:ascii="Times New Roman" w:hAnsi="Times New Roman" w:cs="Times New Roman"/>
          <w:sz w:val="24"/>
          <w:szCs w:val="24"/>
          <w:lang w:val="en-US"/>
        </w:rPr>
        <w:t xml:space="preserve"> adds: “Each event can add on to the promotion and participation for the main event and can increase the footfall for the main event when leveraged properly.” Similarly, </w:t>
      </w:r>
      <w:r w:rsidRPr="005B2A57">
        <w:rPr>
          <w:rFonts w:ascii="Times New Roman" w:hAnsi="Times New Roman" w:cs="Times New Roman"/>
          <w:sz w:val="24"/>
          <w:szCs w:val="24"/>
          <w:lang w:val="en-US"/>
        </w:rPr>
        <w:t>Lucas (2021) provides various pieces of advice for considering the pre-event’s purpose, approach to linking with the main event, use of venue, and team engagement, as well as promotion and communication tactics. Practitioner advice like this abounds.</w:t>
      </w:r>
    </w:p>
    <w:p w14:paraId="7D5B6811" w14:textId="77777777" w:rsidR="00036587" w:rsidRPr="005B2A57" w:rsidRDefault="00036587" w:rsidP="00A50A74">
      <w:pPr>
        <w:spacing w:after="0" w:line="480" w:lineRule="auto"/>
        <w:rPr>
          <w:rFonts w:ascii="Times New Roman" w:hAnsi="Times New Roman" w:cs="Times New Roman"/>
          <w:sz w:val="24"/>
          <w:szCs w:val="24"/>
          <w:lang w:val="en-US"/>
        </w:rPr>
      </w:pPr>
    </w:p>
    <w:p w14:paraId="36B44698" w14:textId="6DBE0A2A" w:rsidR="00036587" w:rsidRPr="005B2A57" w:rsidRDefault="00C50426" w:rsidP="00A50A74">
      <w:pPr>
        <w:spacing w:after="0" w:line="480" w:lineRule="auto"/>
        <w:rPr>
          <w:rFonts w:ascii="Times New Roman" w:hAnsi="Times New Roman" w:cs="Times New Roman"/>
          <w:sz w:val="24"/>
          <w:szCs w:val="24"/>
          <w:highlight w:val="yellow"/>
          <w:lang w:val="en-US"/>
        </w:rPr>
      </w:pPr>
      <w:r w:rsidRPr="005B2A57">
        <w:rPr>
          <w:rFonts w:ascii="Times New Roman" w:hAnsi="Times New Roman" w:cs="Times New Roman"/>
          <w:sz w:val="24"/>
          <w:szCs w:val="24"/>
          <w:lang w:val="en-US"/>
        </w:rPr>
        <w:t>This</w:t>
      </w:r>
      <w:r w:rsidRPr="005B2A57">
        <w:rPr>
          <w:rFonts w:ascii="Times New Roman" w:hAnsi="Times New Roman" w:cs="Times New Roman"/>
          <w:sz w:val="24"/>
          <w:szCs w:val="24"/>
          <w:lang w:val="en-US"/>
        </w:rPr>
        <w:t xml:space="preserve"> paper examines pre-events in a COVID-19 era, focusing on digital pre-events. It argues that these events have become increasingly important as promotional tools due to border restrictions and lockdowns, although digital pre-events are often poorly execute</w:t>
      </w:r>
      <w:r w:rsidRPr="005B2A57">
        <w:rPr>
          <w:rFonts w:ascii="Times New Roman" w:hAnsi="Times New Roman" w:cs="Times New Roman"/>
          <w:sz w:val="24"/>
          <w:szCs w:val="24"/>
          <w:lang w:val="en-US"/>
        </w:rPr>
        <w:t>d and attended; more broadly, despite their value as strategic promotional occasions, they will continue to be a marginalized</w:t>
      </w:r>
      <w:r w:rsidRPr="005B2A57">
        <w:rPr>
          <w:rFonts w:ascii="Times New Roman" w:hAnsi="Times New Roman" w:cs="Times New Roman"/>
          <w:sz w:val="24"/>
          <w:szCs w:val="24"/>
          <w:lang w:val="en-US"/>
        </w:rPr>
        <w:t xml:space="preserve"> form of social gathering due to access issues connected with social media and their secondary importance in comparison with the mo</w:t>
      </w:r>
      <w:r w:rsidRPr="005B2A57">
        <w:rPr>
          <w:rFonts w:ascii="Times New Roman" w:hAnsi="Times New Roman" w:cs="Times New Roman"/>
          <w:sz w:val="24"/>
          <w:szCs w:val="24"/>
          <w:lang w:val="en-US"/>
        </w:rPr>
        <w:t>re significant (main) events that they precede. To illustrate this argument, the paper uses a case study of the Expo 2020 Dubai digital pre-events, which are being organized</w:t>
      </w:r>
      <w:r w:rsidRPr="005B2A57">
        <w:rPr>
          <w:rFonts w:ascii="Times New Roman" w:hAnsi="Times New Roman" w:cs="Times New Roman"/>
          <w:sz w:val="24"/>
          <w:szCs w:val="24"/>
          <w:lang w:val="en-US"/>
        </w:rPr>
        <w:t xml:space="preserve"> by multiple countries ahead of the main event (the Expo itself, running from 1 Oct</w:t>
      </w:r>
      <w:r w:rsidRPr="005B2A57">
        <w:rPr>
          <w:rFonts w:ascii="Times New Roman" w:hAnsi="Times New Roman" w:cs="Times New Roman"/>
          <w:sz w:val="24"/>
          <w:szCs w:val="24"/>
          <w:lang w:val="en-US"/>
        </w:rPr>
        <w:t xml:space="preserve">ober, 2021, to 31 March, 2022). This case provides a wealth of insights, as it sheds light on the dynamics of many different pre-events being </w:t>
      </w:r>
      <w:proofErr w:type="spellStart"/>
      <w:r w:rsidRPr="005B2A57">
        <w:rPr>
          <w:rFonts w:ascii="Times New Roman" w:hAnsi="Times New Roman" w:cs="Times New Roman"/>
          <w:sz w:val="24"/>
          <w:szCs w:val="24"/>
          <w:lang w:val="en-US"/>
        </w:rPr>
        <w:t>organised</w:t>
      </w:r>
      <w:proofErr w:type="spellEnd"/>
      <w:r w:rsidRPr="005B2A57">
        <w:rPr>
          <w:rFonts w:ascii="Times New Roman" w:hAnsi="Times New Roman" w:cs="Times New Roman"/>
          <w:sz w:val="24"/>
          <w:szCs w:val="24"/>
          <w:lang w:val="en-US"/>
        </w:rPr>
        <w:t xml:space="preserve"> by different cultures. In other words, this single instrumental case study (Stake, 1995) provides a robu</w:t>
      </w:r>
      <w:r w:rsidRPr="005B2A57">
        <w:rPr>
          <w:rFonts w:ascii="Times New Roman" w:hAnsi="Times New Roman" w:cs="Times New Roman"/>
          <w:sz w:val="24"/>
          <w:szCs w:val="24"/>
          <w:lang w:val="en-US"/>
        </w:rPr>
        <w:t>st way of understanding the principles that apply from it to multiple other settings (Yin, 1981). Qualitative content analysis (Hsieh &amp; Shannon, 2005) has been used to analyze</w:t>
      </w:r>
      <w:r w:rsidRPr="005B2A57">
        <w:rPr>
          <w:rFonts w:ascii="Times New Roman" w:hAnsi="Times New Roman" w:cs="Times New Roman"/>
          <w:sz w:val="24"/>
          <w:szCs w:val="24"/>
          <w:lang w:val="en-US"/>
        </w:rPr>
        <w:t xml:space="preserve"> the different digital pre-events being held before the Expo. </w:t>
      </w:r>
    </w:p>
    <w:p w14:paraId="3D04F6C8" w14:textId="77777777" w:rsidR="00036587" w:rsidRPr="005B2A57" w:rsidRDefault="00036587" w:rsidP="00A50A74">
      <w:pPr>
        <w:spacing w:after="0" w:line="480" w:lineRule="auto"/>
        <w:rPr>
          <w:rFonts w:ascii="Times New Roman" w:hAnsi="Times New Roman" w:cs="Times New Roman"/>
          <w:sz w:val="24"/>
          <w:szCs w:val="24"/>
          <w:highlight w:val="yellow"/>
          <w:lang w:val="en-US"/>
        </w:rPr>
      </w:pPr>
    </w:p>
    <w:p w14:paraId="027C2E07" w14:textId="3714F0A7"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The paper provide</w:t>
      </w:r>
      <w:r w:rsidRPr="005B2A57">
        <w:rPr>
          <w:rFonts w:ascii="Times New Roman" w:hAnsi="Times New Roman" w:cs="Times New Roman"/>
          <w:sz w:val="24"/>
          <w:szCs w:val="24"/>
          <w:lang w:val="en-US"/>
        </w:rPr>
        <w:t xml:space="preserve">s several contributions to knowledge, as well as a set of contributions to practice. It builds on the current scholarly knowledge about pre-events, and particularly </w:t>
      </w:r>
      <w:r w:rsidRPr="005B2A57">
        <w:rPr>
          <w:rFonts w:ascii="Times New Roman" w:hAnsi="Times New Roman" w:cs="Times New Roman"/>
          <w:sz w:val="24"/>
          <w:szCs w:val="24"/>
          <w:lang w:val="en-US"/>
        </w:rPr>
        <w:lastRenderedPageBreak/>
        <w:t>digital pre-events. This knowledge is growing but limited (Robertson, 2018), and will conti</w:t>
      </w:r>
      <w:r w:rsidRPr="005B2A57">
        <w:rPr>
          <w:rFonts w:ascii="Times New Roman" w:hAnsi="Times New Roman" w:cs="Times New Roman"/>
          <w:sz w:val="24"/>
          <w:szCs w:val="24"/>
          <w:lang w:val="en-US"/>
        </w:rPr>
        <w:t xml:space="preserve">nue to be important during the COVID-19 pandemic, as well as after it, in light of the recognition that digital will be the new normal for societies after the pandemic ends (UN DESA, 2020). Pre-events have continued to grow in size and importance over the </w:t>
      </w:r>
      <w:r w:rsidRPr="005B2A57">
        <w:rPr>
          <w:rFonts w:ascii="Times New Roman" w:hAnsi="Times New Roman" w:cs="Times New Roman"/>
          <w:sz w:val="24"/>
          <w:szCs w:val="24"/>
          <w:lang w:val="en-US"/>
        </w:rPr>
        <w:t>years; they have become increasingly significant social occasions in their own right, giving like-minded individuals and groups the chance to convene for shared purposes, as well as significant instrumental promotional opportunities. The paper helps to bui</w:t>
      </w:r>
      <w:r w:rsidRPr="005B2A57">
        <w:rPr>
          <w:rFonts w:ascii="Times New Roman" w:hAnsi="Times New Roman" w:cs="Times New Roman"/>
          <w:sz w:val="24"/>
          <w:szCs w:val="24"/>
          <w:lang w:val="en-US"/>
        </w:rPr>
        <w:t>ld our knowledge in both of these respects. Also, more specifically, it contributes to expanding our understanding of the configurations and purposes of pre-events. Additionally, it adds insights about best practices in digital pre-event organization</w:t>
      </w:r>
      <w:r w:rsidRPr="005B2A57">
        <w:rPr>
          <w:rFonts w:ascii="Times New Roman" w:hAnsi="Times New Roman" w:cs="Times New Roman"/>
          <w:sz w:val="24"/>
          <w:szCs w:val="24"/>
          <w:lang w:val="en-US"/>
        </w:rPr>
        <w:t xml:space="preserve"> and e</w:t>
      </w:r>
      <w:r w:rsidRPr="005B2A57">
        <w:rPr>
          <w:rFonts w:ascii="Times New Roman" w:hAnsi="Times New Roman" w:cs="Times New Roman"/>
          <w:sz w:val="24"/>
          <w:szCs w:val="24"/>
          <w:lang w:val="en-US"/>
        </w:rPr>
        <w:t>xecution. Against the backdrop of these primary contributions to knowledge, the paper also provides a secondary contribution in the form of helping build our understanding of the role and value of traditional physical events (such as EXPO).</w:t>
      </w:r>
    </w:p>
    <w:p w14:paraId="70FE6E13" w14:textId="77777777" w:rsidR="00036587" w:rsidRPr="005B2A57" w:rsidRDefault="00036587" w:rsidP="00A50A74">
      <w:pPr>
        <w:spacing w:after="0" w:line="480" w:lineRule="auto"/>
        <w:rPr>
          <w:rFonts w:ascii="Times New Roman" w:hAnsi="Times New Roman" w:cs="Times New Roman"/>
          <w:sz w:val="24"/>
          <w:szCs w:val="24"/>
          <w:lang w:val="en-US"/>
        </w:rPr>
      </w:pPr>
    </w:p>
    <w:p w14:paraId="6BD1BD32" w14:textId="77777777"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 xml:space="preserve">The remainder </w:t>
      </w:r>
      <w:r w:rsidRPr="005B2A57">
        <w:rPr>
          <w:rFonts w:ascii="Times New Roman" w:hAnsi="Times New Roman" w:cs="Times New Roman"/>
          <w:sz w:val="24"/>
          <w:szCs w:val="24"/>
          <w:lang w:val="en-US"/>
        </w:rPr>
        <w:t xml:space="preserve">of this paper is divided into five sections. The background and literature review first provide details about digital pre-events in relation to planned events more broadly. The method section then outlines the research design – including the case study of </w:t>
      </w:r>
      <w:r w:rsidRPr="005B2A57">
        <w:rPr>
          <w:rFonts w:ascii="Times New Roman" w:hAnsi="Times New Roman" w:cs="Times New Roman"/>
          <w:sz w:val="24"/>
          <w:szCs w:val="24"/>
          <w:lang w:val="en-US"/>
        </w:rPr>
        <w:t>EXPO 2021 digital pre-events - in answer to the research question: what is the form and function of the digital pre-event? Next, the results section outlines the findings of the original research. After that, the discussion section interrogates the finding</w:t>
      </w:r>
      <w:r w:rsidRPr="005B2A57">
        <w:rPr>
          <w:rFonts w:ascii="Times New Roman" w:hAnsi="Times New Roman" w:cs="Times New Roman"/>
          <w:sz w:val="24"/>
          <w:szCs w:val="24"/>
          <w:lang w:val="en-US"/>
        </w:rPr>
        <w:t>s critically, and provides recommendations for practitioners (such as event managers and other professional communicators). The conclusion notes the limitations of the research and outlines avenues for further investigation.</w:t>
      </w:r>
    </w:p>
    <w:p w14:paraId="68542677" w14:textId="77777777" w:rsidR="00036587" w:rsidRPr="005B2A57" w:rsidRDefault="00036587" w:rsidP="00A50A74">
      <w:pPr>
        <w:spacing w:after="0" w:line="480" w:lineRule="auto"/>
        <w:rPr>
          <w:rFonts w:ascii="Times New Roman" w:hAnsi="Times New Roman" w:cs="Times New Roman"/>
          <w:sz w:val="24"/>
          <w:szCs w:val="24"/>
          <w:lang w:val="en-US"/>
        </w:rPr>
      </w:pPr>
    </w:p>
    <w:p w14:paraId="6ACFC4DC" w14:textId="6E62CB96" w:rsidR="00036587" w:rsidRPr="005B2A57" w:rsidRDefault="00C50426" w:rsidP="00A50A74">
      <w:pPr>
        <w:spacing w:after="0" w:line="480" w:lineRule="auto"/>
        <w:rPr>
          <w:rFonts w:ascii="Times New Roman" w:hAnsi="Times New Roman" w:cs="Times New Roman"/>
          <w:b/>
          <w:sz w:val="24"/>
          <w:szCs w:val="24"/>
          <w:lang w:val="en-US"/>
        </w:rPr>
      </w:pPr>
      <w:r w:rsidRPr="005B2A57">
        <w:rPr>
          <w:rFonts w:ascii="Times New Roman" w:hAnsi="Times New Roman" w:cs="Times New Roman"/>
          <w:b/>
          <w:sz w:val="24"/>
          <w:szCs w:val="24"/>
          <w:lang w:val="en-US"/>
        </w:rPr>
        <w:t>Background and literature revi</w:t>
      </w:r>
      <w:r w:rsidRPr="005B2A57">
        <w:rPr>
          <w:rFonts w:ascii="Times New Roman" w:hAnsi="Times New Roman" w:cs="Times New Roman"/>
          <w:b/>
          <w:sz w:val="24"/>
          <w:szCs w:val="24"/>
          <w:lang w:val="en-US"/>
        </w:rPr>
        <w:t>ew</w:t>
      </w:r>
    </w:p>
    <w:p w14:paraId="3FC0180B" w14:textId="77777777"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lastRenderedPageBreak/>
        <w:t>Digital pre-events are, collectively, one the latest outcomes in a long history of evolutions of planned events. Drawing on Getz (2020, p. 32), these types of events:</w:t>
      </w:r>
    </w:p>
    <w:p w14:paraId="47673C08" w14:textId="77777777" w:rsidR="00036587" w:rsidRPr="005B2A57" w:rsidRDefault="00C50426" w:rsidP="00A50A74">
      <w:pPr>
        <w:spacing w:after="0" w:line="480" w:lineRule="auto"/>
        <w:ind w:left="720"/>
        <w:rPr>
          <w:rFonts w:ascii="Times New Roman" w:hAnsi="Times New Roman" w:cs="Times New Roman"/>
          <w:sz w:val="24"/>
          <w:szCs w:val="24"/>
          <w:lang w:val="en-US"/>
        </w:rPr>
      </w:pPr>
      <w:r w:rsidRPr="005B2A57">
        <w:rPr>
          <w:rFonts w:ascii="Times New Roman" w:hAnsi="Times New Roman" w:cs="Times New Roman"/>
          <w:sz w:val="24"/>
          <w:szCs w:val="24"/>
          <w:lang w:val="en-US"/>
        </w:rPr>
        <w:t xml:space="preserve">are created to achieve specific outcomes, including those related to the economy, culture, society and environment. Event planning involves the design and implementation of themes, settings, consumables, services and </w:t>
      </w:r>
      <w:proofErr w:type="spellStart"/>
      <w:r w:rsidRPr="005B2A57">
        <w:rPr>
          <w:rFonts w:ascii="Times New Roman" w:hAnsi="Times New Roman" w:cs="Times New Roman"/>
          <w:sz w:val="24"/>
          <w:szCs w:val="24"/>
          <w:lang w:val="en-US"/>
        </w:rPr>
        <w:t>programmes</w:t>
      </w:r>
      <w:proofErr w:type="spellEnd"/>
      <w:r w:rsidRPr="005B2A57">
        <w:rPr>
          <w:rFonts w:ascii="Times New Roman" w:hAnsi="Times New Roman" w:cs="Times New Roman"/>
          <w:sz w:val="24"/>
          <w:szCs w:val="24"/>
          <w:lang w:val="en-US"/>
        </w:rPr>
        <w:t xml:space="preserve"> that suggest, facilitate or </w:t>
      </w:r>
      <w:r w:rsidRPr="005B2A57">
        <w:rPr>
          <w:rFonts w:ascii="Times New Roman" w:hAnsi="Times New Roman" w:cs="Times New Roman"/>
          <w:sz w:val="24"/>
          <w:szCs w:val="24"/>
          <w:lang w:val="en-US"/>
        </w:rPr>
        <w:t>constrain experiences for participants, guests, spectators and other stakeholders. Every event-goers experience is personal and unique, arising from the interactions of setting, program, and people, but event experiences also have broader social and cultur</w:t>
      </w:r>
      <w:r w:rsidRPr="005B2A57">
        <w:rPr>
          <w:rFonts w:ascii="Times New Roman" w:hAnsi="Times New Roman" w:cs="Times New Roman"/>
          <w:sz w:val="24"/>
          <w:szCs w:val="24"/>
          <w:lang w:val="en-US"/>
        </w:rPr>
        <w:t>al meanings.</w:t>
      </w:r>
    </w:p>
    <w:p w14:paraId="5E76D72C" w14:textId="77777777"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(Unplanned events, by contrast, can be understood as “unpredictable happenings” that range from the unpleasant, such as forces of nature and wars, to the more pleasant, such as large spontaneous celebrations (Getz &amp; Page, 2020, p. 68).) Both p</w:t>
      </w:r>
      <w:r w:rsidRPr="005B2A57">
        <w:rPr>
          <w:rFonts w:ascii="Times New Roman" w:hAnsi="Times New Roman" w:cs="Times New Roman"/>
          <w:sz w:val="24"/>
          <w:szCs w:val="24"/>
          <w:lang w:val="en-US"/>
        </w:rPr>
        <w:t>lanned and unplanned events have been occurring throughout recorded history, even though most events have been informal and organic until (comparatively) recently (Getz, 2020, p. 31); nevertheless, planned events “have been an essential part of human civil</w:t>
      </w:r>
      <w:r w:rsidRPr="005B2A57">
        <w:rPr>
          <w:rFonts w:ascii="Times New Roman" w:hAnsi="Times New Roman" w:cs="Times New Roman"/>
          <w:sz w:val="24"/>
          <w:szCs w:val="24"/>
          <w:lang w:val="en-US"/>
        </w:rPr>
        <w:t>ization”, helping to bind communities together, define cultures, and shape the identities of people, places and social activities.</w:t>
      </w:r>
    </w:p>
    <w:p w14:paraId="10298BC7" w14:textId="77777777" w:rsidR="00036587" w:rsidRPr="005B2A57" w:rsidRDefault="00036587" w:rsidP="00A50A74">
      <w:pPr>
        <w:spacing w:after="0" w:line="480" w:lineRule="auto"/>
        <w:rPr>
          <w:rFonts w:ascii="Times New Roman" w:hAnsi="Times New Roman" w:cs="Times New Roman"/>
          <w:sz w:val="24"/>
          <w:szCs w:val="24"/>
          <w:lang w:val="en-US"/>
        </w:rPr>
      </w:pPr>
    </w:p>
    <w:p w14:paraId="24E40E23" w14:textId="77777777"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Pre-events, too, have far-reaching antecedents. Examples range from the oath-taking at Olympia that preceded the ancient Oly</w:t>
      </w:r>
      <w:r w:rsidRPr="005B2A57">
        <w:rPr>
          <w:rFonts w:ascii="Times New Roman" w:hAnsi="Times New Roman" w:cs="Times New Roman"/>
          <w:sz w:val="24"/>
          <w:szCs w:val="24"/>
          <w:lang w:val="en-US"/>
        </w:rPr>
        <w:t>mpic games (Potter, 2011) to the more recent annual ‘Nobel Week Dialogue’ meeting that precedes the Nobel Prize awarding ceremony (Nobel Outreach, 2021). History is littered with such precursors to today’s pre-events, even though main events have tradition</w:t>
      </w:r>
      <w:r w:rsidRPr="005B2A57">
        <w:rPr>
          <w:rFonts w:ascii="Times New Roman" w:hAnsi="Times New Roman" w:cs="Times New Roman"/>
          <w:sz w:val="24"/>
          <w:szCs w:val="24"/>
          <w:lang w:val="en-US"/>
        </w:rPr>
        <w:t>ally been the focus of publics’ (and scholars’) attention. Indeed, in this respect, Robertson (2018, p. 3209) notes that: “The focus of the media event literature has been the live phase—the peak intensity of media “thickenings” as the scripted event is co</w:t>
      </w:r>
      <w:r w:rsidRPr="005B2A57">
        <w:rPr>
          <w:rFonts w:ascii="Times New Roman" w:hAnsi="Times New Roman" w:cs="Times New Roman"/>
          <w:sz w:val="24"/>
          <w:szCs w:val="24"/>
          <w:lang w:val="en-US"/>
        </w:rPr>
        <w:t xml:space="preserve">vered live”; however, the contestation around the main, planned event’s narratives actually </w:t>
      </w:r>
      <w:r w:rsidRPr="005B2A57">
        <w:rPr>
          <w:rFonts w:ascii="Times New Roman" w:hAnsi="Times New Roman" w:cs="Times New Roman"/>
          <w:sz w:val="24"/>
          <w:szCs w:val="24"/>
          <w:lang w:val="en-US"/>
        </w:rPr>
        <w:lastRenderedPageBreak/>
        <w:t xml:space="preserve">begins earlier, in what has been termed the ‘build-up phase’ (Robertson, 2018). This concept aligns with the ‘pre-events period’ identified in </w:t>
      </w:r>
      <w:proofErr w:type="spellStart"/>
      <w:r w:rsidRPr="005B2A57">
        <w:rPr>
          <w:rFonts w:ascii="Times New Roman" w:hAnsi="Times New Roman" w:cs="Times New Roman"/>
          <w:sz w:val="24"/>
          <w:szCs w:val="24"/>
          <w:lang w:val="en-US"/>
        </w:rPr>
        <w:t>Kuusik</w:t>
      </w:r>
      <w:proofErr w:type="spellEnd"/>
      <w:r w:rsidRPr="005B2A57">
        <w:rPr>
          <w:rFonts w:ascii="Times New Roman" w:hAnsi="Times New Roman" w:cs="Times New Roman"/>
          <w:sz w:val="24"/>
          <w:szCs w:val="24"/>
          <w:lang w:val="en-US"/>
        </w:rPr>
        <w:t xml:space="preserve"> et. </w:t>
      </w:r>
      <w:proofErr w:type="spellStart"/>
      <w:r w:rsidRPr="005B2A57">
        <w:rPr>
          <w:rFonts w:ascii="Times New Roman" w:hAnsi="Times New Roman" w:cs="Times New Roman"/>
          <w:sz w:val="24"/>
          <w:szCs w:val="24"/>
          <w:lang w:val="en-US"/>
        </w:rPr>
        <w:t>al’s</w:t>
      </w:r>
      <w:proofErr w:type="spellEnd"/>
      <w:r w:rsidRPr="005B2A57">
        <w:rPr>
          <w:rFonts w:ascii="Times New Roman" w:hAnsi="Times New Roman" w:cs="Times New Roman"/>
          <w:sz w:val="24"/>
          <w:szCs w:val="24"/>
          <w:lang w:val="en-US"/>
        </w:rPr>
        <w:t xml:space="preserve"> (2014</w:t>
      </w:r>
      <w:r w:rsidRPr="005B2A57">
        <w:rPr>
          <w:rFonts w:ascii="Times New Roman" w:hAnsi="Times New Roman" w:cs="Times New Roman"/>
          <w:sz w:val="24"/>
          <w:szCs w:val="24"/>
          <w:lang w:val="en-US"/>
        </w:rPr>
        <w:t>) study about tourism events. In this period, social media marketing can be used to promote ticket sales to the main event (</w:t>
      </w:r>
      <w:proofErr w:type="spellStart"/>
      <w:r w:rsidRPr="005B2A57">
        <w:rPr>
          <w:rFonts w:ascii="Times New Roman" w:hAnsi="Times New Roman" w:cs="Times New Roman"/>
          <w:sz w:val="24"/>
          <w:szCs w:val="24"/>
          <w:lang w:val="en-US"/>
        </w:rPr>
        <w:t>Tolvanen</w:t>
      </w:r>
      <w:proofErr w:type="spellEnd"/>
      <w:r w:rsidRPr="005B2A57">
        <w:rPr>
          <w:rFonts w:ascii="Times New Roman" w:hAnsi="Times New Roman" w:cs="Times New Roman"/>
          <w:sz w:val="24"/>
          <w:szCs w:val="24"/>
          <w:lang w:val="en-US"/>
        </w:rPr>
        <w:t>, 2016). Although the ‘build-up phase’, the ‘pre-events period’ and the pre-event itself are three dissimilar things, they a</w:t>
      </w:r>
      <w:r w:rsidRPr="005B2A57">
        <w:rPr>
          <w:rFonts w:ascii="Times New Roman" w:hAnsi="Times New Roman" w:cs="Times New Roman"/>
          <w:sz w:val="24"/>
          <w:szCs w:val="24"/>
          <w:lang w:val="en-US"/>
        </w:rPr>
        <w:t>ll highlight the (often-overlooked) importance of events that precede a main event.</w:t>
      </w:r>
    </w:p>
    <w:p w14:paraId="5BFF1B12" w14:textId="77777777" w:rsidR="00036587" w:rsidRPr="005B2A57" w:rsidRDefault="00036587" w:rsidP="00A50A74">
      <w:pPr>
        <w:spacing w:after="0" w:line="480" w:lineRule="auto"/>
        <w:rPr>
          <w:rFonts w:ascii="Times New Roman" w:hAnsi="Times New Roman" w:cs="Times New Roman"/>
          <w:sz w:val="24"/>
          <w:szCs w:val="24"/>
          <w:lang w:val="en-US"/>
        </w:rPr>
      </w:pPr>
    </w:p>
    <w:p w14:paraId="64BE70E1" w14:textId="77777777"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The outcomes that pre-events aim to achieve differ from pre-event to pre-event. Some outcomes are limited. For instance, Hutton and Jaensch (2015) have noted that the part</w:t>
      </w:r>
      <w:r w:rsidRPr="005B2A57">
        <w:rPr>
          <w:rFonts w:ascii="Times New Roman" w:hAnsi="Times New Roman" w:cs="Times New Roman"/>
          <w:sz w:val="24"/>
          <w:szCs w:val="24"/>
          <w:lang w:val="en-US"/>
        </w:rPr>
        <w:t>icipants of outdoor music festivals use pre-events as opportunities to catch up with their friends, also (unintentionally) using those events as opportunities for ‘pre-loading’: drinking alcohol before a main event. Other outcomes are larger and cross mult</w:t>
      </w:r>
      <w:r w:rsidRPr="005B2A57">
        <w:rPr>
          <w:rFonts w:ascii="Times New Roman" w:hAnsi="Times New Roman" w:cs="Times New Roman"/>
          <w:sz w:val="24"/>
          <w:szCs w:val="24"/>
          <w:lang w:val="en-US"/>
        </w:rPr>
        <w:t>iple pre-events. For example, Knight (2014, p. 3) notes that the events preceding the annual Academy Awards or Oscars telecast serve multiple functions, explaining that: “Pre-events include interviews, talk about possible nominations, prediction of winners</w:t>
      </w:r>
      <w:r w:rsidRPr="005B2A57">
        <w:rPr>
          <w:rFonts w:ascii="Times New Roman" w:hAnsi="Times New Roman" w:cs="Times New Roman"/>
          <w:sz w:val="24"/>
          <w:szCs w:val="24"/>
          <w:lang w:val="en-US"/>
        </w:rPr>
        <w:t xml:space="preserve">, past Academy Awards happenings, and speculations about who will host the show. In the hours before the main event, the paparazzi cover the red carpet.” </w:t>
      </w:r>
    </w:p>
    <w:p w14:paraId="78FD64CA" w14:textId="77777777" w:rsidR="00036587" w:rsidRPr="005B2A57" w:rsidRDefault="00036587" w:rsidP="00A50A74">
      <w:pPr>
        <w:spacing w:after="0" w:line="480" w:lineRule="auto"/>
        <w:rPr>
          <w:rFonts w:ascii="Times New Roman" w:hAnsi="Times New Roman" w:cs="Times New Roman"/>
          <w:sz w:val="24"/>
          <w:szCs w:val="24"/>
          <w:lang w:val="en-US"/>
        </w:rPr>
      </w:pPr>
    </w:p>
    <w:p w14:paraId="2C109FA8" w14:textId="48F9F9BA"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Analysts have increasingly been recommending that pre-events be used strategically, especially in wa</w:t>
      </w:r>
      <w:r w:rsidRPr="005B2A57">
        <w:rPr>
          <w:rFonts w:ascii="Times New Roman" w:hAnsi="Times New Roman" w:cs="Times New Roman"/>
          <w:sz w:val="24"/>
          <w:szCs w:val="24"/>
          <w:lang w:val="en-US"/>
        </w:rPr>
        <w:t>ys that fulfil organizations</w:t>
      </w:r>
      <w:r w:rsidRPr="005B2A57">
        <w:rPr>
          <w:rFonts w:ascii="Times New Roman" w:hAnsi="Times New Roman" w:cs="Times New Roman"/>
          <w:sz w:val="24"/>
          <w:szCs w:val="24"/>
          <w:lang w:val="en-US"/>
        </w:rPr>
        <w:t xml:space="preserve">’ and groups’ social responsibility requirements. For instance, </w:t>
      </w:r>
      <w:proofErr w:type="spellStart"/>
      <w:r w:rsidRPr="005B2A57">
        <w:rPr>
          <w:rFonts w:ascii="Times New Roman" w:hAnsi="Times New Roman" w:cs="Times New Roman"/>
          <w:sz w:val="24"/>
          <w:szCs w:val="24"/>
          <w:lang w:val="en-US"/>
        </w:rPr>
        <w:t>Hahm</w:t>
      </w:r>
      <w:proofErr w:type="spellEnd"/>
      <w:r w:rsidRPr="005B2A57">
        <w:rPr>
          <w:rFonts w:ascii="Times New Roman" w:hAnsi="Times New Roman" w:cs="Times New Roman"/>
          <w:sz w:val="24"/>
          <w:szCs w:val="24"/>
          <w:lang w:val="en-US"/>
        </w:rPr>
        <w:t>, Ro and Olson (2018), in their analysis of an LGBTQI+ event, have suggested that the event organizers</w:t>
      </w:r>
      <w:r w:rsidRPr="005B2A57">
        <w:rPr>
          <w:rFonts w:ascii="Times New Roman" w:hAnsi="Times New Roman" w:cs="Times New Roman"/>
          <w:sz w:val="24"/>
          <w:szCs w:val="24"/>
          <w:lang w:val="en-US"/>
        </w:rPr>
        <w:t xml:space="preserve"> deliberately “create pre-events, or for national/interna</w:t>
      </w:r>
      <w:r w:rsidRPr="005B2A57">
        <w:rPr>
          <w:rFonts w:ascii="Times New Roman" w:hAnsi="Times New Roman" w:cs="Times New Roman"/>
          <w:sz w:val="24"/>
          <w:szCs w:val="24"/>
          <w:lang w:val="en-US"/>
        </w:rPr>
        <w:t xml:space="preserve">tional events, create geographically specific pre-events, to facilitate bond-building”. This aligns with </w:t>
      </w:r>
      <w:proofErr w:type="spellStart"/>
      <w:r w:rsidRPr="005B2A57">
        <w:rPr>
          <w:rFonts w:ascii="Times New Roman" w:hAnsi="Times New Roman" w:cs="Times New Roman"/>
          <w:sz w:val="24"/>
          <w:szCs w:val="24"/>
          <w:lang w:val="en-US"/>
        </w:rPr>
        <w:t>Chalip’s</w:t>
      </w:r>
      <w:proofErr w:type="spellEnd"/>
      <w:r w:rsidRPr="005B2A57">
        <w:rPr>
          <w:rFonts w:ascii="Times New Roman" w:hAnsi="Times New Roman" w:cs="Times New Roman"/>
          <w:sz w:val="24"/>
          <w:szCs w:val="24"/>
          <w:lang w:val="en-US"/>
        </w:rPr>
        <w:t xml:space="preserve"> (2004) observation that an event can be deliberately elongated by adding pre- and post-events that enable participants to share time together.</w:t>
      </w:r>
      <w:r w:rsidRPr="005B2A57">
        <w:rPr>
          <w:rFonts w:ascii="Times New Roman" w:hAnsi="Times New Roman" w:cs="Times New Roman"/>
          <w:sz w:val="24"/>
          <w:szCs w:val="24"/>
          <w:lang w:val="en-US"/>
        </w:rPr>
        <w:t xml:space="preserve"> In </w:t>
      </w:r>
      <w:r w:rsidRPr="005B2A57">
        <w:rPr>
          <w:rFonts w:ascii="Times New Roman" w:hAnsi="Times New Roman" w:cs="Times New Roman"/>
          <w:sz w:val="24"/>
          <w:szCs w:val="24"/>
          <w:lang w:val="en-US"/>
        </w:rPr>
        <w:lastRenderedPageBreak/>
        <w:t>line with advice to ‘green’ events, or make them sustainable (see, for example, Jones, 2018), Moise and Macovei (2014) have argued that the organizers</w:t>
      </w:r>
      <w:r w:rsidRPr="005B2A57">
        <w:rPr>
          <w:rFonts w:ascii="Times New Roman" w:hAnsi="Times New Roman" w:cs="Times New Roman"/>
          <w:sz w:val="24"/>
          <w:szCs w:val="24"/>
          <w:lang w:val="en-US"/>
        </w:rPr>
        <w:t xml:space="preserve"> of pre-events (as well as events and post-events) must take into account those events’ impacts on par</w:t>
      </w:r>
      <w:r w:rsidRPr="005B2A57">
        <w:rPr>
          <w:rFonts w:ascii="Times New Roman" w:hAnsi="Times New Roman" w:cs="Times New Roman"/>
          <w:sz w:val="24"/>
          <w:szCs w:val="24"/>
          <w:lang w:val="en-US"/>
        </w:rPr>
        <w:t>ticipants and the environment; they have also commented that the responsibility to make events environmentally friendly should rest not with organizations</w:t>
      </w:r>
      <w:r w:rsidRPr="005B2A57">
        <w:rPr>
          <w:rFonts w:ascii="Times New Roman" w:hAnsi="Times New Roman" w:cs="Times New Roman"/>
          <w:sz w:val="24"/>
          <w:szCs w:val="24"/>
          <w:lang w:val="en-US"/>
        </w:rPr>
        <w:t xml:space="preserve"> alone, but with both organizers</w:t>
      </w:r>
      <w:r w:rsidRPr="005B2A57">
        <w:rPr>
          <w:rFonts w:ascii="Times New Roman" w:hAnsi="Times New Roman" w:cs="Times New Roman"/>
          <w:sz w:val="24"/>
          <w:szCs w:val="24"/>
          <w:lang w:val="en-US"/>
        </w:rPr>
        <w:t xml:space="preserve"> and participants.</w:t>
      </w:r>
    </w:p>
    <w:p w14:paraId="14C9B6B1" w14:textId="77777777" w:rsidR="00036587" w:rsidRPr="005B2A57" w:rsidRDefault="00036587" w:rsidP="00A50A74">
      <w:pPr>
        <w:spacing w:after="0" w:line="480" w:lineRule="auto"/>
        <w:rPr>
          <w:rFonts w:ascii="Times New Roman" w:hAnsi="Times New Roman" w:cs="Times New Roman"/>
          <w:sz w:val="24"/>
          <w:szCs w:val="24"/>
          <w:lang w:val="en-US"/>
        </w:rPr>
      </w:pPr>
    </w:p>
    <w:p w14:paraId="197262CB" w14:textId="273D43E0"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The existing scholarship has also increasingly bee</w:t>
      </w:r>
      <w:r w:rsidRPr="005B2A57">
        <w:rPr>
          <w:rFonts w:ascii="Times New Roman" w:hAnsi="Times New Roman" w:cs="Times New Roman"/>
          <w:sz w:val="24"/>
          <w:szCs w:val="24"/>
          <w:lang w:val="en-US"/>
        </w:rPr>
        <w:t>n emphasizing</w:t>
      </w:r>
      <w:r w:rsidRPr="005B2A57">
        <w:rPr>
          <w:rFonts w:ascii="Times New Roman" w:hAnsi="Times New Roman" w:cs="Times New Roman"/>
          <w:sz w:val="24"/>
          <w:szCs w:val="24"/>
          <w:lang w:val="en-US"/>
        </w:rPr>
        <w:t xml:space="preserve"> the need to understand the impacts of pre-events. Some proposed impact analyses are straightforward; Ma et. al. (2013), for example, used questionnaires in their analysis, which sought to understand how residents living in close proximity to </w:t>
      </w:r>
      <w:r w:rsidRPr="005B2A57">
        <w:rPr>
          <w:rFonts w:ascii="Times New Roman" w:hAnsi="Times New Roman" w:cs="Times New Roman"/>
          <w:sz w:val="24"/>
          <w:szCs w:val="24"/>
          <w:lang w:val="en-US"/>
        </w:rPr>
        <w:t xml:space="preserve">a survey site were affected by various occurrences (including pre-events) before a main event. Other impact analyses are more complex. </w:t>
      </w:r>
      <w:proofErr w:type="spellStart"/>
      <w:r w:rsidRPr="005B2A57">
        <w:rPr>
          <w:rFonts w:ascii="Times New Roman" w:hAnsi="Times New Roman" w:cs="Times New Roman"/>
          <w:sz w:val="24"/>
          <w:szCs w:val="24"/>
          <w:lang w:val="en-US"/>
        </w:rPr>
        <w:t>Zuev</w:t>
      </w:r>
      <w:proofErr w:type="spellEnd"/>
      <w:r w:rsidRPr="005B2A57">
        <w:rPr>
          <w:rFonts w:ascii="Times New Roman" w:hAnsi="Times New Roman" w:cs="Times New Roman"/>
          <w:sz w:val="24"/>
          <w:szCs w:val="24"/>
          <w:lang w:val="en-US"/>
        </w:rPr>
        <w:t xml:space="preserve"> (2016) has argued that it is important to examine the visual production stages of a pre-event (as well as main event</w:t>
      </w:r>
      <w:r w:rsidRPr="005B2A57">
        <w:rPr>
          <w:rFonts w:ascii="Times New Roman" w:hAnsi="Times New Roman" w:cs="Times New Roman"/>
          <w:sz w:val="24"/>
          <w:szCs w:val="24"/>
          <w:lang w:val="en-US"/>
        </w:rPr>
        <w:t xml:space="preserve"> and post-event), while Guo, Huang and Jia (2020) have suggested using the real options valuation method in evaluating risk in connection with pre-events. One the most comprehensive impact evaluation approaches, though, has been offered by Ma et. al. (2011</w:t>
      </w:r>
      <w:r w:rsidRPr="005B2A57">
        <w:rPr>
          <w:rFonts w:ascii="Times New Roman" w:hAnsi="Times New Roman" w:cs="Times New Roman"/>
          <w:sz w:val="24"/>
          <w:szCs w:val="24"/>
          <w:lang w:val="en-US"/>
        </w:rPr>
        <w:t>), who have drawn on the triple bottom line (social, environmental and financial) approach to understanding pre-event impacts. In their study, the authors identified both the pre-event impacts and the criteria to assess those impacts.</w:t>
      </w:r>
    </w:p>
    <w:p w14:paraId="5444CBF4" w14:textId="77777777" w:rsidR="00036587" w:rsidRPr="005B2A57" w:rsidRDefault="00036587" w:rsidP="00A50A74">
      <w:pPr>
        <w:spacing w:after="0" w:line="480" w:lineRule="auto"/>
        <w:rPr>
          <w:rFonts w:ascii="Times New Roman" w:hAnsi="Times New Roman" w:cs="Times New Roman"/>
          <w:sz w:val="24"/>
          <w:szCs w:val="24"/>
          <w:lang w:val="en-US"/>
        </w:rPr>
      </w:pPr>
    </w:p>
    <w:p w14:paraId="6E51310B" w14:textId="2E443DA4"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The scholarship abou</w:t>
      </w:r>
      <w:r w:rsidRPr="005B2A57">
        <w:rPr>
          <w:rFonts w:ascii="Times New Roman" w:hAnsi="Times New Roman" w:cs="Times New Roman"/>
          <w:sz w:val="24"/>
          <w:szCs w:val="24"/>
          <w:lang w:val="en-US"/>
        </w:rPr>
        <w:t>t pre-events has also drawn on work about media events. These types of events – which can be understood as “situated, thickened, centering</w:t>
      </w:r>
      <w:r w:rsidRPr="005B2A57">
        <w:rPr>
          <w:rFonts w:ascii="Times New Roman" w:hAnsi="Times New Roman" w:cs="Times New Roman"/>
          <w:sz w:val="24"/>
          <w:szCs w:val="24"/>
          <w:lang w:val="en-US"/>
        </w:rPr>
        <w:t xml:space="preserve"> performances of mediated communication that are focused on a specific thematic core” </w:t>
      </w:r>
      <w:proofErr w:type="spellStart"/>
      <w:r w:rsidRPr="005B2A57">
        <w:rPr>
          <w:rFonts w:ascii="Times New Roman" w:hAnsi="Times New Roman" w:cs="Times New Roman"/>
          <w:sz w:val="24"/>
          <w:szCs w:val="24"/>
          <w:lang w:val="en-US"/>
        </w:rPr>
        <w:t>Couldry</w:t>
      </w:r>
      <w:proofErr w:type="spellEnd"/>
      <w:r w:rsidRPr="005B2A57">
        <w:rPr>
          <w:rFonts w:ascii="Times New Roman" w:hAnsi="Times New Roman" w:cs="Times New Roman"/>
          <w:sz w:val="24"/>
          <w:szCs w:val="24"/>
          <w:lang w:val="en-US"/>
        </w:rPr>
        <w:t xml:space="preserve"> and </w:t>
      </w:r>
      <w:proofErr w:type="spellStart"/>
      <w:r w:rsidRPr="005B2A57">
        <w:rPr>
          <w:rFonts w:ascii="Times New Roman" w:hAnsi="Times New Roman" w:cs="Times New Roman"/>
          <w:sz w:val="24"/>
          <w:szCs w:val="24"/>
          <w:lang w:val="en-US"/>
        </w:rPr>
        <w:t>Hepp</w:t>
      </w:r>
      <w:proofErr w:type="spellEnd"/>
      <w:r w:rsidRPr="005B2A57">
        <w:rPr>
          <w:rFonts w:ascii="Times New Roman" w:hAnsi="Times New Roman" w:cs="Times New Roman"/>
          <w:sz w:val="24"/>
          <w:szCs w:val="24"/>
          <w:lang w:val="en-US"/>
        </w:rPr>
        <w:t xml:space="preserve"> (2017, p. 3) – h</w:t>
      </w:r>
      <w:r w:rsidRPr="005B2A57">
        <w:rPr>
          <w:rFonts w:ascii="Times New Roman" w:hAnsi="Times New Roman" w:cs="Times New Roman"/>
          <w:sz w:val="24"/>
          <w:szCs w:val="24"/>
          <w:lang w:val="en-US"/>
        </w:rPr>
        <w:t xml:space="preserve">elp to understand not only pre-events, but also media events themselves. However, pre-events have not been studied in depth from a media events perspective. For </w:t>
      </w:r>
      <w:r w:rsidRPr="005B2A57">
        <w:rPr>
          <w:rFonts w:ascii="Times New Roman" w:hAnsi="Times New Roman" w:cs="Times New Roman"/>
          <w:sz w:val="24"/>
          <w:szCs w:val="24"/>
          <w:lang w:val="en-US"/>
        </w:rPr>
        <w:lastRenderedPageBreak/>
        <w:t xml:space="preserve">instance, Lin et. al. (2014) have examined audience dynamics on Twitter to understand user </w:t>
      </w:r>
      <w:proofErr w:type="spellStart"/>
      <w:r w:rsidRPr="005B2A57">
        <w:rPr>
          <w:rFonts w:ascii="Times New Roman" w:hAnsi="Times New Roman" w:cs="Times New Roman"/>
          <w:sz w:val="24"/>
          <w:szCs w:val="24"/>
          <w:lang w:val="en-US"/>
        </w:rPr>
        <w:t>beha</w:t>
      </w:r>
      <w:r w:rsidRPr="005B2A57">
        <w:rPr>
          <w:rFonts w:ascii="Times New Roman" w:hAnsi="Times New Roman" w:cs="Times New Roman"/>
          <w:sz w:val="24"/>
          <w:szCs w:val="24"/>
          <w:lang w:val="en-US"/>
        </w:rPr>
        <w:t>viour</w:t>
      </w:r>
      <w:proofErr w:type="spellEnd"/>
      <w:r w:rsidRPr="005B2A57">
        <w:rPr>
          <w:rFonts w:ascii="Times New Roman" w:hAnsi="Times New Roman" w:cs="Times New Roman"/>
          <w:sz w:val="24"/>
          <w:szCs w:val="24"/>
          <w:lang w:val="en-US"/>
        </w:rPr>
        <w:t xml:space="preserve"> during media events as opposed to other events (such as pre-events and news events). In a similar vein, Robertson (2018), has examined the highly contested nature of the build-up phase of planned media events; her study countered the suggestion of Ka</w:t>
      </w:r>
      <w:r w:rsidRPr="005B2A57">
        <w:rPr>
          <w:rFonts w:ascii="Times New Roman" w:hAnsi="Times New Roman" w:cs="Times New Roman"/>
          <w:sz w:val="24"/>
          <w:szCs w:val="24"/>
          <w:lang w:val="en-US"/>
        </w:rPr>
        <w:t xml:space="preserve">tz and </w:t>
      </w:r>
      <w:proofErr w:type="spellStart"/>
      <w:r w:rsidRPr="005B2A57">
        <w:rPr>
          <w:rFonts w:ascii="Times New Roman" w:hAnsi="Times New Roman" w:cs="Times New Roman"/>
          <w:sz w:val="24"/>
          <w:szCs w:val="24"/>
          <w:lang w:val="en-US"/>
        </w:rPr>
        <w:t>Liebes</w:t>
      </w:r>
      <w:proofErr w:type="spellEnd"/>
      <w:r w:rsidRPr="005B2A57">
        <w:rPr>
          <w:rFonts w:ascii="Times New Roman" w:hAnsi="Times New Roman" w:cs="Times New Roman"/>
          <w:sz w:val="24"/>
          <w:szCs w:val="24"/>
          <w:lang w:val="en-US"/>
        </w:rPr>
        <w:t xml:space="preserve"> (2007, p. 160) that the preplanning of a media event allows for the “comfort of orderliness”. This countering is also evident in the work of </w:t>
      </w:r>
      <w:proofErr w:type="spellStart"/>
      <w:r w:rsidRPr="005B2A57">
        <w:rPr>
          <w:rFonts w:ascii="Times New Roman" w:hAnsi="Times New Roman" w:cs="Times New Roman"/>
          <w:sz w:val="24"/>
          <w:szCs w:val="24"/>
          <w:lang w:val="en-US"/>
        </w:rPr>
        <w:t>Rivenburgh</w:t>
      </w:r>
      <w:proofErr w:type="spellEnd"/>
      <w:r w:rsidRPr="005B2A57">
        <w:rPr>
          <w:rFonts w:ascii="Times New Roman" w:hAnsi="Times New Roman" w:cs="Times New Roman"/>
          <w:sz w:val="24"/>
          <w:szCs w:val="24"/>
          <w:lang w:val="en-US"/>
        </w:rPr>
        <w:t xml:space="preserve"> (2009), who noted that hosts of global media events must be prepared to respond to pre-eve</w:t>
      </w:r>
      <w:r w:rsidRPr="005B2A57">
        <w:rPr>
          <w:rFonts w:ascii="Times New Roman" w:hAnsi="Times New Roman" w:cs="Times New Roman"/>
          <w:sz w:val="24"/>
          <w:szCs w:val="24"/>
          <w:lang w:val="en-US"/>
        </w:rPr>
        <w:t>nt developments, such as surprise news events and unsurprising reporting topics. The need to understand pre-events in relation to media events more effectively is just one of the areas in which further knowledge about pre-events is needed.</w:t>
      </w:r>
    </w:p>
    <w:p w14:paraId="3BD3784B" w14:textId="77777777" w:rsidR="00036587" w:rsidRPr="005B2A57" w:rsidRDefault="00036587" w:rsidP="00A50A74">
      <w:pPr>
        <w:spacing w:after="0" w:line="480" w:lineRule="auto"/>
        <w:rPr>
          <w:rFonts w:ascii="Times New Roman" w:hAnsi="Times New Roman" w:cs="Times New Roman"/>
          <w:sz w:val="24"/>
          <w:szCs w:val="24"/>
          <w:lang w:val="en-US"/>
        </w:rPr>
      </w:pPr>
    </w:p>
    <w:p w14:paraId="27AAA75B" w14:textId="5F2924F0" w:rsidR="00036587" w:rsidRPr="005B2A57" w:rsidRDefault="00C50426" w:rsidP="00A50A74">
      <w:pPr>
        <w:spacing w:after="0" w:line="480" w:lineRule="auto"/>
        <w:rPr>
          <w:rFonts w:ascii="Times New Roman" w:hAnsi="Times New Roman" w:cs="Times New Roman"/>
          <w:b/>
          <w:sz w:val="24"/>
          <w:szCs w:val="24"/>
          <w:lang w:val="en-US"/>
        </w:rPr>
      </w:pPr>
      <w:r w:rsidRPr="005B2A57">
        <w:rPr>
          <w:rFonts w:ascii="Times New Roman" w:hAnsi="Times New Roman" w:cs="Times New Roman"/>
          <w:b/>
          <w:sz w:val="24"/>
          <w:szCs w:val="24"/>
          <w:lang w:val="en-US"/>
        </w:rPr>
        <w:t xml:space="preserve">Digital events </w:t>
      </w:r>
      <w:r w:rsidRPr="005B2A57">
        <w:rPr>
          <w:rFonts w:ascii="Times New Roman" w:hAnsi="Times New Roman" w:cs="Times New Roman"/>
          <w:b/>
          <w:sz w:val="24"/>
          <w:szCs w:val="24"/>
          <w:lang w:val="en-US"/>
        </w:rPr>
        <w:t>and the Covid-19 pandemic</w:t>
      </w:r>
    </w:p>
    <w:p w14:paraId="58E30B46" w14:textId="14C21BE5"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Digital events have been growing for years, but have proliferated during the COVID-19 pandemic as individuals, groups and organizations</w:t>
      </w:r>
      <w:r w:rsidRPr="005B2A57">
        <w:rPr>
          <w:rFonts w:ascii="Times New Roman" w:hAnsi="Times New Roman" w:cs="Times New Roman"/>
          <w:sz w:val="24"/>
          <w:szCs w:val="24"/>
          <w:lang w:val="en-US"/>
        </w:rPr>
        <w:t xml:space="preserve"> found themselves switching to digital forms of engagement in order to avoid face-to-face inte</w:t>
      </w:r>
      <w:r w:rsidRPr="005B2A57">
        <w:rPr>
          <w:rFonts w:ascii="Times New Roman" w:hAnsi="Times New Roman" w:cs="Times New Roman"/>
          <w:sz w:val="24"/>
          <w:szCs w:val="24"/>
          <w:lang w:val="en-US"/>
        </w:rPr>
        <w:t>raction. According to one Australian industry study, undertaken by a firm specializing</w:t>
      </w:r>
      <w:r w:rsidRPr="005B2A57">
        <w:rPr>
          <w:rFonts w:ascii="Times New Roman" w:hAnsi="Times New Roman" w:cs="Times New Roman"/>
          <w:sz w:val="24"/>
          <w:szCs w:val="24"/>
          <w:lang w:val="en-US"/>
        </w:rPr>
        <w:t xml:space="preserve"> in event management, almost two in three Australian respondents reported attending six or more digital events a month just one year into the start of the pandemic; live </w:t>
      </w:r>
      <w:r w:rsidRPr="005B2A57">
        <w:rPr>
          <w:rFonts w:ascii="Times New Roman" w:hAnsi="Times New Roman" w:cs="Times New Roman"/>
          <w:sz w:val="24"/>
          <w:szCs w:val="24"/>
          <w:lang w:val="en-US"/>
        </w:rPr>
        <w:t xml:space="preserve">engagement was also increasing, with four in five respondents attending at least half of all digital events live (rather than on-demand) (Page, 2020). Looking ahead, a different, global study has found that the virtual event platform market is expected to </w:t>
      </w:r>
      <w:r w:rsidRPr="005B2A57">
        <w:rPr>
          <w:rFonts w:ascii="Times New Roman" w:hAnsi="Times New Roman" w:cs="Times New Roman"/>
          <w:sz w:val="24"/>
          <w:szCs w:val="24"/>
          <w:lang w:val="en-US"/>
        </w:rPr>
        <w:t>grow at a compound annual growth rate of 12.7%, reaching USD 18.9 billion in 2026, up from USD 10.4 billion in 2021; the factors driving this growth include the rise in the popularity of online meetings, replacing physical get-togethers, and the continuing</w:t>
      </w:r>
      <w:r w:rsidRPr="005B2A57">
        <w:rPr>
          <w:rFonts w:ascii="Times New Roman" w:hAnsi="Times New Roman" w:cs="Times New Roman"/>
          <w:sz w:val="24"/>
          <w:szCs w:val="24"/>
          <w:lang w:val="en-US"/>
        </w:rPr>
        <w:t xml:space="preserve"> transition of businesses to remote working approaches (</w:t>
      </w:r>
      <w:proofErr w:type="spellStart"/>
      <w:r w:rsidRPr="005B2A57">
        <w:rPr>
          <w:rFonts w:ascii="Times New Roman" w:hAnsi="Times New Roman" w:cs="Times New Roman"/>
          <w:sz w:val="24"/>
          <w:szCs w:val="24"/>
          <w:lang w:val="en-US"/>
        </w:rPr>
        <w:t>ReportLinker</w:t>
      </w:r>
      <w:proofErr w:type="spellEnd"/>
      <w:r w:rsidRPr="005B2A57">
        <w:rPr>
          <w:rFonts w:ascii="Times New Roman" w:hAnsi="Times New Roman" w:cs="Times New Roman"/>
          <w:sz w:val="24"/>
          <w:szCs w:val="24"/>
          <w:lang w:val="en-US"/>
        </w:rPr>
        <w:t xml:space="preserve">, 2021). These findings, </w:t>
      </w:r>
      <w:r w:rsidRPr="005B2A57">
        <w:rPr>
          <w:rFonts w:ascii="Times New Roman" w:hAnsi="Times New Roman" w:cs="Times New Roman"/>
          <w:sz w:val="24"/>
          <w:szCs w:val="24"/>
          <w:lang w:val="en-US"/>
        </w:rPr>
        <w:lastRenderedPageBreak/>
        <w:t>about distinct time-periods, highlight the ongoing desire and need – at both the individual country and international levels – to continue using digital events.</w:t>
      </w:r>
    </w:p>
    <w:p w14:paraId="193465A2" w14:textId="77777777" w:rsidR="00036587" w:rsidRPr="005B2A57" w:rsidRDefault="00036587" w:rsidP="00A50A74">
      <w:pPr>
        <w:spacing w:after="0" w:line="480" w:lineRule="auto"/>
        <w:rPr>
          <w:rFonts w:ascii="Times New Roman" w:hAnsi="Times New Roman" w:cs="Times New Roman"/>
          <w:sz w:val="24"/>
          <w:szCs w:val="24"/>
          <w:lang w:val="en-US"/>
        </w:rPr>
      </w:pPr>
    </w:p>
    <w:p w14:paraId="0A2BAC3B" w14:textId="77777777"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T</w:t>
      </w:r>
      <w:r w:rsidRPr="005B2A57">
        <w:rPr>
          <w:rFonts w:ascii="Times New Roman" w:hAnsi="Times New Roman" w:cs="Times New Roman"/>
          <w:sz w:val="24"/>
          <w:szCs w:val="24"/>
          <w:lang w:val="en-US"/>
        </w:rPr>
        <w:t>he scholarly research that has been undertaken (so far) about these events in relation to the COVID-19 pandemic also highlights an ongoing appetite for the use of the events in various settings, although researchers have also pointed out the limitations of</w:t>
      </w:r>
      <w:r w:rsidRPr="005B2A57">
        <w:rPr>
          <w:rFonts w:ascii="Times New Roman" w:hAnsi="Times New Roman" w:cs="Times New Roman"/>
          <w:sz w:val="24"/>
          <w:szCs w:val="24"/>
          <w:lang w:val="en-US"/>
        </w:rPr>
        <w:t xml:space="preserve"> hosting various occasions online. One of the most significant benefits of digital events is their removal of geographical boundaries to engagement by individuals of different socio-economic backgrounds; Westgarth (2021, p. 18) pointedly asks: “Is it absol</w:t>
      </w:r>
      <w:r w:rsidRPr="005B2A57">
        <w:rPr>
          <w:rFonts w:ascii="Times New Roman" w:hAnsi="Times New Roman" w:cs="Times New Roman"/>
          <w:sz w:val="24"/>
          <w:szCs w:val="24"/>
          <w:lang w:val="en-US"/>
        </w:rPr>
        <w:t>utely necessary to travel across the country to … an event or seminar?” Werner, Junek and Wang (2021) have pointed out that, in terms of the event management skills that will be needed in the post COVID-19 world, different skill sets will be required for p</w:t>
      </w:r>
      <w:r w:rsidRPr="005B2A57">
        <w:rPr>
          <w:rFonts w:ascii="Times New Roman" w:hAnsi="Times New Roman" w:cs="Times New Roman"/>
          <w:sz w:val="24"/>
          <w:szCs w:val="24"/>
          <w:lang w:val="en-US"/>
        </w:rPr>
        <w:t>lanning and managing digital events, given the distinct requirements of staging online (as opposed to physical, face-to-face) events. In their analysis of digital and non-digital interaction formats, Schwarz et al. (2020) note that digital events of differ</w:t>
      </w:r>
      <w:r w:rsidRPr="005B2A57">
        <w:rPr>
          <w:rFonts w:ascii="Times New Roman" w:hAnsi="Times New Roman" w:cs="Times New Roman"/>
          <w:sz w:val="24"/>
          <w:szCs w:val="24"/>
          <w:lang w:val="en-US"/>
        </w:rPr>
        <w:t xml:space="preserve">ent kinds require less preparation time, have lower costs, and </w:t>
      </w:r>
      <w:proofErr w:type="spellStart"/>
      <w:r w:rsidRPr="005B2A57">
        <w:rPr>
          <w:rFonts w:ascii="Times New Roman" w:hAnsi="Times New Roman" w:cs="Times New Roman"/>
          <w:sz w:val="24"/>
          <w:szCs w:val="24"/>
          <w:lang w:val="en-US"/>
        </w:rPr>
        <w:t>minimise</w:t>
      </w:r>
      <w:proofErr w:type="spellEnd"/>
      <w:r w:rsidRPr="005B2A57">
        <w:rPr>
          <w:rFonts w:ascii="Times New Roman" w:hAnsi="Times New Roman" w:cs="Times New Roman"/>
          <w:sz w:val="24"/>
          <w:szCs w:val="24"/>
          <w:lang w:val="en-US"/>
        </w:rPr>
        <w:t xml:space="preserve"> the wastage of typical physical event components (such as food, plastic, and paper). However, they also find that digital events inadequately replicate the multiple informal discussion</w:t>
      </w:r>
      <w:r w:rsidRPr="005B2A57">
        <w:rPr>
          <w:rFonts w:ascii="Times New Roman" w:hAnsi="Times New Roman" w:cs="Times New Roman"/>
          <w:sz w:val="24"/>
          <w:szCs w:val="24"/>
          <w:lang w:val="en-US"/>
        </w:rPr>
        <w:t>s held during physical events, have the potential to affect personal well-being (due to the lack of in-person interactions), raise issues relating to data security, and may lead only to limited carbon emission savings.</w:t>
      </w:r>
    </w:p>
    <w:p w14:paraId="487B05A3" w14:textId="77777777" w:rsidR="00036587" w:rsidRPr="005B2A57" w:rsidRDefault="00036587" w:rsidP="00A50A74">
      <w:pPr>
        <w:spacing w:after="0" w:line="480" w:lineRule="auto"/>
        <w:rPr>
          <w:rFonts w:ascii="Times New Roman" w:hAnsi="Times New Roman" w:cs="Times New Roman"/>
          <w:sz w:val="24"/>
          <w:szCs w:val="24"/>
          <w:lang w:val="en-US"/>
        </w:rPr>
      </w:pPr>
    </w:p>
    <w:p w14:paraId="32940C84" w14:textId="16FCDA95"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The communication impacts of digital</w:t>
      </w:r>
      <w:r w:rsidRPr="005B2A57">
        <w:rPr>
          <w:rFonts w:ascii="Times New Roman" w:hAnsi="Times New Roman" w:cs="Times New Roman"/>
          <w:sz w:val="24"/>
          <w:szCs w:val="24"/>
          <w:lang w:val="en-US"/>
        </w:rPr>
        <w:t xml:space="preserve"> events are varied, and many individuals’ desire to return to face-to-face events, or engage in hybrid events, also speaks to the limitations of planning and running online-only occasions. The idea of ‘information richness’ (Daft &amp; Lengel, 1986) reminds us</w:t>
      </w:r>
      <w:r w:rsidRPr="005B2A57">
        <w:rPr>
          <w:rFonts w:ascii="Times New Roman" w:hAnsi="Times New Roman" w:cs="Times New Roman"/>
          <w:sz w:val="24"/>
          <w:szCs w:val="24"/>
          <w:lang w:val="en-US"/>
        </w:rPr>
        <w:t xml:space="preserve"> that face-to-face (verbal) communication is, and will remain (for a </w:t>
      </w:r>
      <w:r w:rsidRPr="005B2A57">
        <w:rPr>
          <w:rFonts w:ascii="Times New Roman" w:hAnsi="Times New Roman" w:cs="Times New Roman"/>
          <w:sz w:val="24"/>
          <w:szCs w:val="24"/>
          <w:lang w:val="en-US"/>
        </w:rPr>
        <w:lastRenderedPageBreak/>
        <w:t>very long time, at least), the most effective way to communicate. The use of communication technology also often fails due to issues with hardware or software, but also, as Koch et. al. (</w:t>
      </w:r>
      <w:r w:rsidRPr="005B2A57">
        <w:rPr>
          <w:rFonts w:ascii="Times New Roman" w:hAnsi="Times New Roman" w:cs="Times New Roman"/>
          <w:sz w:val="24"/>
          <w:szCs w:val="24"/>
          <w:lang w:val="en-US"/>
        </w:rPr>
        <w:t>2012) point out, due to participants’ lack of knowledge about the technology and the processes that it involves. Consequently, it is little wonder that an appetite has been growing for hybrid events that “make the best of both worlds” – that is, of digital</w:t>
      </w:r>
      <w:r w:rsidRPr="005B2A57">
        <w:rPr>
          <w:rFonts w:ascii="Times New Roman" w:hAnsi="Times New Roman" w:cs="Times New Roman"/>
          <w:sz w:val="24"/>
          <w:szCs w:val="24"/>
          <w:lang w:val="en-US"/>
        </w:rPr>
        <w:t xml:space="preserve"> and physical interactions – with event organizers</w:t>
      </w:r>
      <w:r w:rsidRPr="005B2A57">
        <w:rPr>
          <w:rFonts w:ascii="Times New Roman" w:hAnsi="Times New Roman" w:cs="Times New Roman"/>
          <w:sz w:val="24"/>
          <w:szCs w:val="24"/>
          <w:lang w:val="en-US"/>
        </w:rPr>
        <w:t xml:space="preserve"> likely to be mindful of organizing</w:t>
      </w:r>
      <w:r w:rsidRPr="005B2A57">
        <w:rPr>
          <w:rFonts w:ascii="Times New Roman" w:hAnsi="Times New Roman" w:cs="Times New Roman"/>
          <w:sz w:val="24"/>
          <w:szCs w:val="24"/>
          <w:lang w:val="en-US"/>
        </w:rPr>
        <w:t xml:space="preserve"> ‘digital twin’ events in future (Feeley, 2021). Nevertheless, digital events in various forms are more than likely to continue being held given the concerns (for the time</w:t>
      </w:r>
      <w:r w:rsidRPr="005B2A57">
        <w:rPr>
          <w:rFonts w:ascii="Times New Roman" w:hAnsi="Times New Roman" w:cs="Times New Roman"/>
          <w:sz w:val="24"/>
          <w:szCs w:val="24"/>
          <w:lang w:val="en-US"/>
        </w:rPr>
        <w:t xml:space="preserve"> being, at least) of populations around the world over face-to-face interactions, and given the world’s continuing, careful watchfulness for outbreaks of new strains of the virus. Additionally, given the existing benefits that digital events have provided </w:t>
      </w:r>
      <w:r w:rsidRPr="005B2A57">
        <w:rPr>
          <w:rFonts w:ascii="Times New Roman" w:hAnsi="Times New Roman" w:cs="Times New Roman"/>
          <w:sz w:val="24"/>
          <w:szCs w:val="24"/>
          <w:lang w:val="en-US"/>
        </w:rPr>
        <w:t>to organizations</w:t>
      </w:r>
      <w:r w:rsidRPr="005B2A57">
        <w:rPr>
          <w:rFonts w:ascii="Times New Roman" w:hAnsi="Times New Roman" w:cs="Times New Roman"/>
          <w:sz w:val="24"/>
          <w:szCs w:val="24"/>
          <w:lang w:val="en-US"/>
        </w:rPr>
        <w:t xml:space="preserve"> – and especially the enhancements in efficiency and effectiveness that they have provided – these events are likely to continue being used by organizations</w:t>
      </w:r>
      <w:r w:rsidRPr="005B2A57">
        <w:rPr>
          <w:rFonts w:ascii="Times New Roman" w:hAnsi="Times New Roman" w:cs="Times New Roman"/>
          <w:sz w:val="24"/>
          <w:szCs w:val="24"/>
          <w:lang w:val="en-US"/>
        </w:rPr>
        <w:t>, in particular.</w:t>
      </w:r>
    </w:p>
    <w:p w14:paraId="74B0F6AC" w14:textId="77777777" w:rsidR="00036587" w:rsidRPr="005B2A57" w:rsidRDefault="00036587" w:rsidP="00A50A74">
      <w:pPr>
        <w:spacing w:after="0" w:line="480" w:lineRule="auto"/>
        <w:rPr>
          <w:rFonts w:ascii="Times New Roman" w:hAnsi="Times New Roman" w:cs="Times New Roman"/>
          <w:sz w:val="24"/>
          <w:szCs w:val="24"/>
          <w:lang w:val="en-US"/>
        </w:rPr>
      </w:pPr>
    </w:p>
    <w:p w14:paraId="057E64BA" w14:textId="487AF74F" w:rsidR="00036587" w:rsidRPr="005B2A57" w:rsidRDefault="00C50426" w:rsidP="00A50A74">
      <w:pPr>
        <w:spacing w:after="0" w:line="480" w:lineRule="auto"/>
        <w:rPr>
          <w:rFonts w:ascii="Times New Roman" w:hAnsi="Times New Roman" w:cs="Times New Roman"/>
          <w:b/>
          <w:sz w:val="24"/>
          <w:szCs w:val="24"/>
          <w:lang w:val="en-US"/>
        </w:rPr>
      </w:pPr>
      <w:r w:rsidRPr="005B2A57">
        <w:rPr>
          <w:rFonts w:ascii="Times New Roman" w:hAnsi="Times New Roman" w:cs="Times New Roman"/>
          <w:b/>
          <w:sz w:val="24"/>
          <w:szCs w:val="24"/>
          <w:lang w:val="en-US"/>
        </w:rPr>
        <w:t>Methodology and Method</w:t>
      </w:r>
    </w:p>
    <w:p w14:paraId="5CEAE52C" w14:textId="677E60C9"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As the literature review has demonstrated,</w:t>
      </w:r>
      <w:r w:rsidRPr="005B2A57">
        <w:rPr>
          <w:rFonts w:ascii="Times New Roman" w:hAnsi="Times New Roman" w:cs="Times New Roman"/>
          <w:sz w:val="24"/>
          <w:szCs w:val="24"/>
          <w:lang w:val="en-US"/>
        </w:rPr>
        <w:t xml:space="preserve"> there is currently a lack of knowledge about digital pre-events. To fill this lacuna, the present study sought to understand the shapes that pre-events take, as well as the uses to which they are put; as such, its research question was: what is the form a</w:t>
      </w:r>
      <w:r w:rsidRPr="005B2A57">
        <w:rPr>
          <w:rFonts w:ascii="Times New Roman" w:hAnsi="Times New Roman" w:cs="Times New Roman"/>
          <w:sz w:val="24"/>
          <w:szCs w:val="24"/>
          <w:lang w:val="en-US"/>
        </w:rPr>
        <w:t>nd function of the digital pre-event? This single research question was sufficient to understand both the components of pre-events and the purposes that they serve. The online pre-events connected to the Dubai 2021-2022 EXPO were chosen, collectively, as t</w:t>
      </w:r>
      <w:r w:rsidRPr="005B2A57">
        <w:rPr>
          <w:rFonts w:ascii="Times New Roman" w:hAnsi="Times New Roman" w:cs="Times New Roman"/>
          <w:sz w:val="24"/>
          <w:szCs w:val="24"/>
          <w:lang w:val="en-US"/>
        </w:rPr>
        <w:t>he case study for the analysis. This choice was made given the varying nature of the online pre-events: specifically, their varying cultural backgrounds, and multiple organizing</w:t>
      </w:r>
      <w:r w:rsidRPr="005B2A57">
        <w:rPr>
          <w:rFonts w:ascii="Times New Roman" w:hAnsi="Times New Roman" w:cs="Times New Roman"/>
          <w:sz w:val="24"/>
          <w:szCs w:val="24"/>
          <w:lang w:val="en-US"/>
        </w:rPr>
        <w:t xml:space="preserve"> teams, which all had different approaches to organizing</w:t>
      </w:r>
      <w:r w:rsidRPr="005B2A57">
        <w:rPr>
          <w:rFonts w:ascii="Times New Roman" w:hAnsi="Times New Roman" w:cs="Times New Roman"/>
          <w:sz w:val="24"/>
          <w:szCs w:val="24"/>
          <w:lang w:val="en-US"/>
        </w:rPr>
        <w:t xml:space="preserve"> and running their pre-</w:t>
      </w:r>
      <w:r w:rsidRPr="005B2A57">
        <w:rPr>
          <w:rFonts w:ascii="Times New Roman" w:hAnsi="Times New Roman" w:cs="Times New Roman"/>
          <w:sz w:val="24"/>
          <w:szCs w:val="24"/>
          <w:lang w:val="en-US"/>
        </w:rPr>
        <w:t xml:space="preserve">events. These events, preceding the Dubai EXPO, would enable rich insights to be formed about other pre-events; </w:t>
      </w:r>
      <w:r w:rsidRPr="005B2A57">
        <w:rPr>
          <w:rFonts w:ascii="Times New Roman" w:hAnsi="Times New Roman" w:cs="Times New Roman"/>
          <w:sz w:val="24"/>
          <w:szCs w:val="24"/>
          <w:lang w:val="en-US"/>
        </w:rPr>
        <w:lastRenderedPageBreak/>
        <w:t>in other words, this single instrumental case study (Stake, 1995) was deemed to provide a robust way of enabling other settings to be understood</w:t>
      </w:r>
      <w:r w:rsidRPr="005B2A57">
        <w:rPr>
          <w:rFonts w:ascii="Times New Roman" w:hAnsi="Times New Roman" w:cs="Times New Roman"/>
          <w:sz w:val="24"/>
          <w:szCs w:val="24"/>
          <w:lang w:val="en-US"/>
        </w:rPr>
        <w:t xml:space="preserve"> (Yin, 1981). </w:t>
      </w:r>
    </w:p>
    <w:p w14:paraId="3A66AC44" w14:textId="77777777" w:rsidR="00036587" w:rsidRPr="005B2A57" w:rsidRDefault="00036587" w:rsidP="00A50A74">
      <w:pPr>
        <w:spacing w:after="0" w:line="480" w:lineRule="auto"/>
        <w:rPr>
          <w:rFonts w:ascii="Times New Roman" w:hAnsi="Times New Roman" w:cs="Times New Roman"/>
          <w:sz w:val="24"/>
          <w:szCs w:val="24"/>
          <w:lang w:val="en-US"/>
        </w:rPr>
      </w:pPr>
    </w:p>
    <w:p w14:paraId="0FEB7A08" w14:textId="1CBBC1B3"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The Dubai EXPO is the most recent of the global EXPOs that have been taking place since 1985. According to the organization</w:t>
      </w:r>
      <w:r w:rsidRPr="005B2A57">
        <w:rPr>
          <w:rFonts w:ascii="Times New Roman" w:hAnsi="Times New Roman" w:cs="Times New Roman"/>
          <w:sz w:val="24"/>
          <w:szCs w:val="24"/>
          <w:lang w:val="en-US"/>
        </w:rPr>
        <w:t xml:space="preserve"> in charge of regulating the events, the Bureau International des Expositions (BIE), each EXPO “aims at educating the</w:t>
      </w:r>
      <w:r w:rsidRPr="005B2A57">
        <w:rPr>
          <w:rFonts w:ascii="Times New Roman" w:hAnsi="Times New Roman" w:cs="Times New Roman"/>
          <w:sz w:val="24"/>
          <w:szCs w:val="24"/>
          <w:lang w:val="en-US"/>
        </w:rPr>
        <w:t xml:space="preserve"> public, sharing innovation, promoting progress and fostering cooperation” (BIE n.d.-a). The event usually lasts six months, involves multiple publics and various institutional actors – such as governments, companies, and intergovernmental organizations</w:t>
      </w:r>
      <w:r w:rsidRPr="005B2A57">
        <w:rPr>
          <w:rFonts w:ascii="Times New Roman" w:hAnsi="Times New Roman" w:cs="Times New Roman"/>
          <w:sz w:val="24"/>
          <w:szCs w:val="24"/>
          <w:lang w:val="en-US"/>
        </w:rPr>
        <w:t xml:space="preserve"> – </w:t>
      </w:r>
      <w:r w:rsidRPr="005B2A57">
        <w:rPr>
          <w:rFonts w:ascii="Times New Roman" w:hAnsi="Times New Roman" w:cs="Times New Roman"/>
          <w:sz w:val="24"/>
          <w:szCs w:val="24"/>
          <w:lang w:val="en-US"/>
        </w:rPr>
        <w:t>and is hosted (and organized</w:t>
      </w:r>
      <w:r w:rsidRPr="005B2A57">
        <w:rPr>
          <w:rFonts w:ascii="Times New Roman" w:hAnsi="Times New Roman" w:cs="Times New Roman"/>
          <w:sz w:val="24"/>
          <w:szCs w:val="24"/>
          <w:lang w:val="en-US"/>
        </w:rPr>
        <w:t>) by a different country every three to five years, approximately. Each EXPO also has its own theme, which aims to “raise awareness of and find responses to universal challenges of our time” (BIE n.d.-b). Due to COVID-19-related</w:t>
      </w:r>
      <w:r w:rsidRPr="005B2A57">
        <w:rPr>
          <w:rFonts w:ascii="Times New Roman" w:hAnsi="Times New Roman" w:cs="Times New Roman"/>
          <w:sz w:val="24"/>
          <w:szCs w:val="24"/>
          <w:lang w:val="en-US"/>
        </w:rPr>
        <w:t xml:space="preserve"> delays, the Dubai EXPO began on October 1, 2021.</w:t>
      </w:r>
    </w:p>
    <w:p w14:paraId="57B549C4" w14:textId="77777777" w:rsidR="00036587" w:rsidRPr="005B2A57" w:rsidRDefault="00036587" w:rsidP="00A50A74">
      <w:pPr>
        <w:spacing w:after="0" w:line="480" w:lineRule="auto"/>
        <w:rPr>
          <w:rFonts w:ascii="Times New Roman" w:hAnsi="Times New Roman" w:cs="Times New Roman"/>
          <w:sz w:val="24"/>
          <w:szCs w:val="24"/>
          <w:lang w:val="en-US"/>
        </w:rPr>
      </w:pPr>
    </w:p>
    <w:p w14:paraId="60DBBB45" w14:textId="058EB7C7"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The pre-events examined in this study were identified through a two-step search. First, the web-page of each individual country pavilion was found on the official EXPO website (Expo 2020 Dubai, 2021). Second, the social media channels of the pavilions were</w:t>
      </w:r>
      <w:r w:rsidRPr="005B2A57">
        <w:rPr>
          <w:rFonts w:ascii="Times New Roman" w:hAnsi="Times New Roman" w:cs="Times New Roman"/>
          <w:sz w:val="24"/>
          <w:szCs w:val="24"/>
          <w:lang w:val="en-US"/>
        </w:rPr>
        <w:t xml:space="preserve"> searched to find online pre-events (organized</w:t>
      </w:r>
      <w:r w:rsidRPr="005B2A57">
        <w:rPr>
          <w:rFonts w:ascii="Times New Roman" w:hAnsi="Times New Roman" w:cs="Times New Roman"/>
          <w:sz w:val="24"/>
          <w:szCs w:val="24"/>
          <w:lang w:val="en-US"/>
        </w:rPr>
        <w:t xml:space="preserve"> by those pavilions); this second step (and the use of the social media channels) was needed, as the pavilions’ web-pages on the official Dubai EXPO website did not list individual online pre-events. Most pavil</w:t>
      </w:r>
      <w:r w:rsidRPr="005B2A57">
        <w:rPr>
          <w:rFonts w:ascii="Times New Roman" w:hAnsi="Times New Roman" w:cs="Times New Roman"/>
          <w:sz w:val="24"/>
          <w:szCs w:val="24"/>
          <w:lang w:val="en-US"/>
        </w:rPr>
        <w:t>ions had dedicated social media channels for the Dubai Expo, but some did not. The data gathering took place from March to September 2021. At the time of data-gathering (following the steps outlined here), of the 58 countries listed on the Dubai EXPO websi</w:t>
      </w:r>
      <w:r w:rsidRPr="005B2A57">
        <w:rPr>
          <w:rFonts w:ascii="Times New Roman" w:hAnsi="Times New Roman" w:cs="Times New Roman"/>
          <w:sz w:val="24"/>
          <w:szCs w:val="24"/>
          <w:lang w:val="en-US"/>
        </w:rPr>
        <w:t xml:space="preserve">te, 23 countries’ EXPO-focused social media channels were searched, and pre-events were identified on 10 channels. The appendix </w:t>
      </w:r>
      <w:r w:rsidRPr="005B2A57">
        <w:rPr>
          <w:rFonts w:ascii="Times New Roman" w:hAnsi="Times New Roman" w:cs="Times New Roman"/>
          <w:sz w:val="24"/>
          <w:szCs w:val="24"/>
          <w:lang w:val="en-US"/>
        </w:rPr>
        <w:lastRenderedPageBreak/>
        <w:t>provides a list of the countries that had EXPO-focused social media channels at the time of data-gathering, as well as a list of</w:t>
      </w:r>
      <w:r w:rsidRPr="005B2A57">
        <w:rPr>
          <w:rFonts w:ascii="Times New Roman" w:hAnsi="Times New Roman" w:cs="Times New Roman"/>
          <w:sz w:val="24"/>
          <w:szCs w:val="24"/>
          <w:lang w:val="en-US"/>
        </w:rPr>
        <w:t xml:space="preserve"> the online pre-events held by particular countries.</w:t>
      </w:r>
    </w:p>
    <w:p w14:paraId="68AC2273" w14:textId="77777777" w:rsidR="00036587" w:rsidRPr="005B2A57" w:rsidRDefault="00036587" w:rsidP="00A50A74">
      <w:pPr>
        <w:spacing w:after="0" w:line="480" w:lineRule="auto"/>
        <w:rPr>
          <w:rFonts w:ascii="Times New Roman" w:hAnsi="Times New Roman" w:cs="Times New Roman"/>
          <w:sz w:val="24"/>
          <w:szCs w:val="24"/>
          <w:lang w:val="en-US"/>
        </w:rPr>
      </w:pPr>
    </w:p>
    <w:p w14:paraId="2EB2948F" w14:textId="0A55B055" w:rsidR="00036587" w:rsidRPr="005B2A57" w:rsidRDefault="00C50426" w:rsidP="00A50A74">
      <w:pPr>
        <w:spacing w:after="0" w:line="480" w:lineRule="auto"/>
        <w:rPr>
          <w:rFonts w:ascii="Times New Roman" w:hAnsi="Times New Roman" w:cs="Times New Roman"/>
          <w:b/>
          <w:sz w:val="24"/>
          <w:szCs w:val="24"/>
          <w:lang w:val="en-US"/>
        </w:rPr>
      </w:pPr>
      <w:r w:rsidRPr="005B2A57">
        <w:rPr>
          <w:rFonts w:ascii="Times New Roman" w:hAnsi="Times New Roman" w:cs="Times New Roman"/>
          <w:sz w:val="24"/>
          <w:szCs w:val="24"/>
          <w:lang w:val="en-US"/>
        </w:rPr>
        <w:t>Qualitative content analysis was used to examine the pre-events. Specifically, conventional qualitative content analysis (following Hsieh &amp; Shannon, 2005) was employed. This method enabled emerging them</w:t>
      </w:r>
      <w:r w:rsidRPr="005B2A57">
        <w:rPr>
          <w:rFonts w:ascii="Times New Roman" w:hAnsi="Times New Roman" w:cs="Times New Roman"/>
          <w:sz w:val="24"/>
          <w:szCs w:val="24"/>
          <w:lang w:val="en-US"/>
        </w:rPr>
        <w:t>es and patterns to be identified in the data, then allowing “categories and names for categories to flow from the data” (Hsieh &amp; Shannon 2005, p. 1279). This method was highly suitable for answering the research question. Specifically, using conventional q</w:t>
      </w:r>
      <w:r w:rsidRPr="005B2A57">
        <w:rPr>
          <w:rFonts w:ascii="Times New Roman" w:hAnsi="Times New Roman" w:cs="Times New Roman"/>
          <w:sz w:val="24"/>
          <w:szCs w:val="24"/>
          <w:lang w:val="en-US"/>
        </w:rPr>
        <w:t>ualitative content analysis, both the forms and functions of different types of pre-events were able to be identified and classed into emerging patterns that provided insights into the events (and, thus, answered the research question). The goal of the ana</w:t>
      </w:r>
      <w:r w:rsidRPr="005B2A57">
        <w:rPr>
          <w:rFonts w:ascii="Times New Roman" w:hAnsi="Times New Roman" w:cs="Times New Roman"/>
          <w:sz w:val="24"/>
          <w:szCs w:val="24"/>
          <w:lang w:val="en-US"/>
        </w:rPr>
        <w:t>lysis was not to provide a fine-grained analysis of every moment of each event; rather, as previously mentioned, it was to understand the events in a more holistic way by categorizing</w:t>
      </w:r>
      <w:r w:rsidRPr="005B2A57">
        <w:rPr>
          <w:rFonts w:ascii="Times New Roman" w:hAnsi="Times New Roman" w:cs="Times New Roman"/>
          <w:sz w:val="24"/>
          <w:szCs w:val="24"/>
          <w:lang w:val="en-US"/>
        </w:rPr>
        <w:t xml:space="preserve"> them and noting their salient features. The following section outlines t</w:t>
      </w:r>
      <w:r w:rsidRPr="005B2A57">
        <w:rPr>
          <w:rFonts w:ascii="Times New Roman" w:hAnsi="Times New Roman" w:cs="Times New Roman"/>
          <w:sz w:val="24"/>
          <w:szCs w:val="24"/>
          <w:lang w:val="en-US"/>
        </w:rPr>
        <w:t>he results of the analysis.</w:t>
      </w:r>
    </w:p>
    <w:p w14:paraId="13F9F251" w14:textId="77777777" w:rsidR="00036587" w:rsidRPr="005B2A57" w:rsidRDefault="00036587" w:rsidP="00A50A74">
      <w:pPr>
        <w:spacing w:after="0" w:line="480" w:lineRule="auto"/>
        <w:rPr>
          <w:rFonts w:ascii="Times New Roman" w:hAnsi="Times New Roman" w:cs="Times New Roman"/>
          <w:sz w:val="24"/>
          <w:szCs w:val="24"/>
          <w:lang w:val="en-US"/>
        </w:rPr>
      </w:pPr>
    </w:p>
    <w:p w14:paraId="76D1C206" w14:textId="77777777" w:rsidR="00036587" w:rsidRPr="005B2A57" w:rsidRDefault="00C50426" w:rsidP="00A50A74">
      <w:pPr>
        <w:spacing w:after="0" w:line="480" w:lineRule="auto"/>
        <w:rPr>
          <w:rFonts w:ascii="Times New Roman" w:hAnsi="Times New Roman" w:cs="Times New Roman"/>
          <w:b/>
          <w:sz w:val="24"/>
          <w:szCs w:val="24"/>
          <w:lang w:val="en-US"/>
        </w:rPr>
      </w:pPr>
      <w:r w:rsidRPr="005B2A57">
        <w:rPr>
          <w:rFonts w:ascii="Times New Roman" w:hAnsi="Times New Roman" w:cs="Times New Roman"/>
          <w:b/>
          <w:sz w:val="24"/>
          <w:szCs w:val="24"/>
          <w:lang w:val="en-US"/>
        </w:rPr>
        <w:t>A typology of pre-events</w:t>
      </w:r>
    </w:p>
    <w:p w14:paraId="475B4089" w14:textId="7FBE7889" w:rsidR="00A50A74"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The codes that have emerged in the content analysis have been organized</w:t>
      </w:r>
      <w:r w:rsidRPr="005B2A57">
        <w:rPr>
          <w:rFonts w:ascii="Times New Roman" w:hAnsi="Times New Roman" w:cs="Times New Roman"/>
          <w:sz w:val="24"/>
          <w:szCs w:val="24"/>
          <w:lang w:val="en-US"/>
        </w:rPr>
        <w:t xml:space="preserve"> in Table 1, which represents a typology of pre-events based on their configuration, function, target audience, availability, interactivity and platform.</w:t>
      </w:r>
    </w:p>
    <w:p w14:paraId="6168C1AE" w14:textId="77777777" w:rsidR="00036587" w:rsidRPr="00C50426" w:rsidRDefault="00C50426" w:rsidP="00C50426">
      <w:pPr>
        <w:pStyle w:val="ListParagraph"/>
        <w:numPr>
          <w:ilvl w:val="0"/>
          <w:numId w:val="7"/>
        </w:numPr>
        <w:spacing w:after="0" w:line="480" w:lineRule="auto"/>
        <w:rPr>
          <w:rFonts w:ascii="Times New Roman" w:hAnsi="Times New Roman" w:cs="Times New Roman"/>
          <w:sz w:val="24"/>
          <w:szCs w:val="24"/>
          <w:lang w:val="en-US"/>
        </w:rPr>
      </w:pPr>
      <w:r w:rsidRPr="00C50426">
        <w:rPr>
          <w:rFonts w:ascii="Times New Roman" w:hAnsi="Times New Roman" w:cs="Times New Roman"/>
          <w:i/>
          <w:sz w:val="24"/>
          <w:szCs w:val="24"/>
          <w:lang w:val="en-US"/>
        </w:rPr>
        <w:t xml:space="preserve">Configuration </w:t>
      </w:r>
      <w:r w:rsidRPr="00C50426">
        <w:rPr>
          <w:rFonts w:ascii="Times New Roman" w:hAnsi="Times New Roman" w:cs="Times New Roman"/>
          <w:sz w:val="24"/>
          <w:szCs w:val="24"/>
          <w:lang w:val="en-US"/>
        </w:rPr>
        <w:t>refers to whethe</w:t>
      </w:r>
      <w:r w:rsidRPr="00C50426">
        <w:rPr>
          <w:rFonts w:ascii="Times New Roman" w:hAnsi="Times New Roman" w:cs="Times New Roman"/>
          <w:sz w:val="24"/>
          <w:szCs w:val="24"/>
          <w:lang w:val="en-US"/>
        </w:rPr>
        <w:t>r the pre-event is a one-off, individual occurrence or a series of events that follow the same format and/or similar and connected topics.</w:t>
      </w:r>
    </w:p>
    <w:p w14:paraId="0EA9B9B1" w14:textId="03C6BF88" w:rsidR="00A50A74" w:rsidRPr="00C50426" w:rsidRDefault="00C50426" w:rsidP="00A50A74">
      <w:pPr>
        <w:pStyle w:val="ListParagraph"/>
        <w:numPr>
          <w:ilvl w:val="0"/>
          <w:numId w:val="7"/>
        </w:numPr>
        <w:spacing w:after="0" w:line="480" w:lineRule="auto"/>
        <w:rPr>
          <w:rFonts w:ascii="Times New Roman" w:hAnsi="Times New Roman" w:cs="Times New Roman"/>
          <w:sz w:val="24"/>
          <w:szCs w:val="24"/>
          <w:lang w:val="en-US"/>
        </w:rPr>
      </w:pPr>
      <w:r w:rsidRPr="00C50426">
        <w:rPr>
          <w:rFonts w:ascii="Times New Roman" w:hAnsi="Times New Roman" w:cs="Times New Roman"/>
          <w:i/>
          <w:sz w:val="24"/>
          <w:szCs w:val="24"/>
          <w:lang w:val="en-US"/>
        </w:rPr>
        <w:t>Function</w:t>
      </w:r>
      <w:r w:rsidRPr="00C50426">
        <w:rPr>
          <w:rFonts w:ascii="Times New Roman" w:hAnsi="Times New Roman" w:cs="Times New Roman"/>
          <w:sz w:val="24"/>
          <w:szCs w:val="24"/>
          <w:lang w:val="en-US"/>
        </w:rPr>
        <w:t xml:space="preserve"> represents the role of the pre-event in relation to the main event. In this sense, pre-events  can support t</w:t>
      </w:r>
      <w:r w:rsidRPr="00C50426">
        <w:rPr>
          <w:rFonts w:ascii="Times New Roman" w:hAnsi="Times New Roman" w:cs="Times New Roman"/>
          <w:sz w:val="24"/>
          <w:szCs w:val="24"/>
          <w:lang w:val="en-US"/>
        </w:rPr>
        <w:t xml:space="preserve">he engagement with stakeholders; they can help to create, shape and experiment with narratives for the main event or they can constitute an opportunity to re-present and establish narratives for the main event; they can also </w:t>
      </w:r>
      <w:r w:rsidRPr="00C50426">
        <w:rPr>
          <w:rFonts w:ascii="Times New Roman" w:hAnsi="Times New Roman" w:cs="Times New Roman"/>
          <w:sz w:val="24"/>
          <w:szCs w:val="24"/>
          <w:lang w:val="en-US"/>
        </w:rPr>
        <w:lastRenderedPageBreak/>
        <w:t>have a more practical purpose,</w:t>
      </w:r>
      <w:r w:rsidRPr="00C50426">
        <w:rPr>
          <w:rFonts w:ascii="Times New Roman" w:hAnsi="Times New Roman" w:cs="Times New Roman"/>
          <w:sz w:val="24"/>
          <w:szCs w:val="24"/>
          <w:lang w:val="en-US"/>
        </w:rPr>
        <w:t xml:space="preserve"> as planning the main event or select/involve volunteers for the main event.</w:t>
      </w:r>
    </w:p>
    <w:p w14:paraId="128C8475" w14:textId="3A82F46D" w:rsidR="00C50426" w:rsidRPr="00C50426" w:rsidRDefault="00C50426" w:rsidP="00A50A74">
      <w:pPr>
        <w:pStyle w:val="ListParagraph"/>
        <w:numPr>
          <w:ilvl w:val="0"/>
          <w:numId w:val="7"/>
        </w:numPr>
        <w:spacing w:after="0" w:line="480" w:lineRule="auto"/>
        <w:rPr>
          <w:rFonts w:ascii="Times New Roman" w:hAnsi="Times New Roman" w:cs="Times New Roman"/>
          <w:sz w:val="24"/>
          <w:szCs w:val="24"/>
          <w:lang w:val="en-US"/>
        </w:rPr>
      </w:pPr>
      <w:r w:rsidRPr="00C50426">
        <w:rPr>
          <w:rFonts w:ascii="Times New Roman" w:hAnsi="Times New Roman" w:cs="Times New Roman"/>
          <w:sz w:val="24"/>
          <w:szCs w:val="24"/>
          <w:lang w:val="en-US"/>
        </w:rPr>
        <w:t>The</w:t>
      </w:r>
      <w:r w:rsidRPr="00C50426">
        <w:rPr>
          <w:rFonts w:ascii="Times New Roman" w:hAnsi="Times New Roman" w:cs="Times New Roman"/>
          <w:i/>
          <w:sz w:val="24"/>
          <w:szCs w:val="24"/>
          <w:lang w:val="en-US"/>
        </w:rPr>
        <w:t xml:space="preserve"> target audience </w:t>
      </w:r>
      <w:r w:rsidRPr="00C50426">
        <w:rPr>
          <w:rFonts w:ascii="Times New Roman" w:hAnsi="Times New Roman" w:cs="Times New Roman"/>
          <w:sz w:val="24"/>
          <w:szCs w:val="24"/>
          <w:lang w:val="en-US"/>
        </w:rPr>
        <w:t>can be insiders (people already involved or to be involved in the organization</w:t>
      </w:r>
      <w:r w:rsidRPr="00C50426">
        <w:rPr>
          <w:rFonts w:ascii="Times New Roman" w:hAnsi="Times New Roman" w:cs="Times New Roman"/>
          <w:sz w:val="24"/>
          <w:szCs w:val="24"/>
          <w:lang w:val="en-US"/>
        </w:rPr>
        <w:t>), stakeholders and publics. This dimension is directly related to the functi</w:t>
      </w:r>
      <w:r w:rsidRPr="00C50426">
        <w:rPr>
          <w:rFonts w:ascii="Times New Roman" w:hAnsi="Times New Roman" w:cs="Times New Roman"/>
          <w:sz w:val="24"/>
          <w:szCs w:val="24"/>
          <w:lang w:val="en-US"/>
        </w:rPr>
        <w:t>on of the digital pre-event.</w:t>
      </w:r>
    </w:p>
    <w:p w14:paraId="3E7D81EA" w14:textId="16394D1D" w:rsidR="00C50426" w:rsidRPr="00C50426" w:rsidRDefault="00C50426" w:rsidP="00A50A74">
      <w:pPr>
        <w:pStyle w:val="ListParagraph"/>
        <w:numPr>
          <w:ilvl w:val="0"/>
          <w:numId w:val="7"/>
        </w:numPr>
        <w:spacing w:after="0" w:line="480" w:lineRule="auto"/>
        <w:rPr>
          <w:rFonts w:ascii="Times New Roman" w:hAnsi="Times New Roman" w:cs="Times New Roman"/>
          <w:sz w:val="24"/>
          <w:szCs w:val="24"/>
          <w:lang w:val="en-US"/>
        </w:rPr>
      </w:pPr>
      <w:r w:rsidRPr="00C50426">
        <w:rPr>
          <w:rFonts w:ascii="Times New Roman" w:hAnsi="Times New Roman" w:cs="Times New Roman"/>
          <w:sz w:val="24"/>
          <w:szCs w:val="24"/>
          <w:lang w:val="en-US"/>
        </w:rPr>
        <w:t xml:space="preserve">The </w:t>
      </w:r>
      <w:r w:rsidRPr="00C50426">
        <w:rPr>
          <w:rFonts w:ascii="Times New Roman" w:hAnsi="Times New Roman" w:cs="Times New Roman"/>
          <w:i/>
          <w:sz w:val="24"/>
          <w:szCs w:val="24"/>
          <w:lang w:val="en-US"/>
        </w:rPr>
        <w:t>availability</w:t>
      </w:r>
      <w:r w:rsidRPr="00C50426">
        <w:rPr>
          <w:rFonts w:ascii="Times New Roman" w:hAnsi="Times New Roman" w:cs="Times New Roman"/>
          <w:sz w:val="24"/>
          <w:szCs w:val="24"/>
          <w:lang w:val="en-US"/>
        </w:rPr>
        <w:t xml:space="preserve"> of the pre-event can be live or both live and on-demand. Our analysis shows that even the on-demand events have been first broadcasted live and then made available as a recording. </w:t>
      </w:r>
    </w:p>
    <w:p w14:paraId="3BE5A87E" w14:textId="2045851B" w:rsidR="00036587" w:rsidRPr="00C50426" w:rsidRDefault="00C50426" w:rsidP="00C50426">
      <w:pPr>
        <w:pStyle w:val="ListParagraph"/>
        <w:numPr>
          <w:ilvl w:val="0"/>
          <w:numId w:val="7"/>
        </w:numPr>
        <w:spacing w:after="0" w:line="480" w:lineRule="auto"/>
        <w:rPr>
          <w:rFonts w:ascii="Times New Roman" w:hAnsi="Times New Roman" w:cs="Times New Roman"/>
          <w:sz w:val="24"/>
          <w:szCs w:val="24"/>
          <w:lang w:val="en-US"/>
        </w:rPr>
      </w:pPr>
      <w:r w:rsidRPr="00C50426">
        <w:rPr>
          <w:rFonts w:ascii="Times New Roman" w:hAnsi="Times New Roman" w:cs="Times New Roman"/>
          <w:sz w:val="24"/>
          <w:szCs w:val="24"/>
          <w:lang w:val="en-US"/>
        </w:rPr>
        <w:t xml:space="preserve">Finally, the </w:t>
      </w:r>
      <w:r w:rsidRPr="00C50426">
        <w:rPr>
          <w:rFonts w:ascii="Times New Roman" w:hAnsi="Times New Roman" w:cs="Times New Roman"/>
          <w:i/>
          <w:sz w:val="24"/>
          <w:szCs w:val="24"/>
          <w:lang w:val="en-US"/>
        </w:rPr>
        <w:t>interactivity</w:t>
      </w:r>
      <w:r w:rsidRPr="00C50426">
        <w:rPr>
          <w:rFonts w:ascii="Times New Roman" w:hAnsi="Times New Roman" w:cs="Times New Roman"/>
          <w:sz w:val="24"/>
          <w:szCs w:val="24"/>
          <w:lang w:val="en-US"/>
        </w:rPr>
        <w:t xml:space="preserve"> of</w:t>
      </w:r>
      <w:r w:rsidRPr="00C50426">
        <w:rPr>
          <w:rFonts w:ascii="Times New Roman" w:hAnsi="Times New Roman" w:cs="Times New Roman"/>
          <w:sz w:val="24"/>
          <w:szCs w:val="24"/>
          <w:lang w:val="en-US"/>
        </w:rPr>
        <w:t xml:space="preserve"> pre-events indicates whether publics or stakeholders are allowed to intervene and actively participate in the event. Two levels of interactivity have been identified: pre-events can be either open to stakeholders or closed. </w:t>
      </w:r>
    </w:p>
    <w:p w14:paraId="2610336D" w14:textId="77777777" w:rsidR="00A50A74" w:rsidRPr="005B2A57" w:rsidRDefault="00A50A74" w:rsidP="00A50A74">
      <w:pPr>
        <w:spacing w:after="0" w:line="480" w:lineRule="auto"/>
        <w:rPr>
          <w:rFonts w:ascii="Times New Roman" w:hAnsi="Times New Roman" w:cs="Times New Roman"/>
          <w:sz w:val="24"/>
          <w:szCs w:val="24"/>
          <w:lang w:val="en-US"/>
        </w:rPr>
      </w:pPr>
    </w:p>
    <w:p w14:paraId="149014B2" w14:textId="2D27A6E4"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These dimensions have been app</w:t>
      </w:r>
      <w:r w:rsidRPr="005B2A57">
        <w:rPr>
          <w:rFonts w:ascii="Times New Roman" w:hAnsi="Times New Roman" w:cs="Times New Roman"/>
          <w:sz w:val="24"/>
          <w:szCs w:val="24"/>
          <w:lang w:val="en-US"/>
        </w:rPr>
        <w:t>lied and used to categorize</w:t>
      </w:r>
      <w:r w:rsidRPr="005B2A57">
        <w:rPr>
          <w:rFonts w:ascii="Times New Roman" w:hAnsi="Times New Roman" w:cs="Times New Roman"/>
          <w:sz w:val="24"/>
          <w:szCs w:val="24"/>
          <w:lang w:val="en-US"/>
        </w:rPr>
        <w:t xml:space="preserve"> the Expo 2020 pre-events.</w:t>
      </w:r>
    </w:p>
    <w:tbl>
      <w:tblPr>
        <w:tblStyle w:val="a"/>
        <w:tblW w:w="9025" w:type="dxa"/>
        <w:tblBorders>
          <w:top w:val="nil"/>
          <w:left w:val="nil"/>
          <w:bottom w:val="nil"/>
          <w:right w:val="nil"/>
          <w:insideH w:val="nil"/>
          <w:insideV w:val="nil"/>
        </w:tblBorders>
        <w:tblLayout w:type="fixed"/>
        <w:tblLook w:val="0600" w:firstRow="0" w:lastRow="0" w:firstColumn="0" w:lastColumn="0" w:noHBand="1" w:noVBand="1"/>
      </w:tblPr>
      <w:tblGrid>
        <w:gridCol w:w="2141"/>
        <w:gridCol w:w="6884"/>
      </w:tblGrid>
      <w:tr w:rsidR="00036587" w:rsidRPr="005B2A57" w14:paraId="00EE59DB" w14:textId="77777777">
        <w:trPr>
          <w:trHeight w:val="815"/>
        </w:trPr>
        <w:tc>
          <w:tcPr>
            <w:tcW w:w="21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76BF69" w14:textId="77777777"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Configuration</w:t>
            </w:r>
          </w:p>
        </w:tc>
        <w:tc>
          <w:tcPr>
            <w:tcW w:w="68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49A1BAD" w14:textId="77777777" w:rsidR="00036587" w:rsidRPr="005B2A57" w:rsidRDefault="00C50426" w:rsidP="00A50A74">
            <w:pPr>
              <w:numPr>
                <w:ilvl w:val="0"/>
                <w:numId w:val="6"/>
              </w:numPr>
              <w:spacing w:after="0" w:line="480" w:lineRule="auto"/>
              <w:ind w:left="708"/>
              <w:rPr>
                <w:rFonts w:ascii="Times New Roman" w:hAnsi="Times New Roman" w:cs="Times New Roman"/>
                <w:sz w:val="24"/>
                <w:szCs w:val="24"/>
                <w:lang w:val="en-US"/>
              </w:rPr>
            </w:pPr>
            <w:r w:rsidRPr="005B2A57">
              <w:rPr>
                <w:rFonts w:ascii="Times New Roman" w:hAnsi="Times New Roman" w:cs="Times New Roman"/>
                <w:sz w:val="24"/>
                <w:szCs w:val="24"/>
                <w:lang w:val="en-US"/>
              </w:rPr>
              <w:t>One-off</w:t>
            </w:r>
          </w:p>
          <w:p w14:paraId="6724917D" w14:textId="77777777" w:rsidR="00036587" w:rsidRPr="005B2A57" w:rsidRDefault="00C50426" w:rsidP="00A50A74">
            <w:pPr>
              <w:numPr>
                <w:ilvl w:val="0"/>
                <w:numId w:val="6"/>
              </w:numPr>
              <w:spacing w:after="0" w:line="480" w:lineRule="auto"/>
              <w:ind w:left="708"/>
              <w:rPr>
                <w:rFonts w:ascii="Times New Roman" w:hAnsi="Times New Roman" w:cs="Times New Roman"/>
                <w:sz w:val="24"/>
                <w:szCs w:val="24"/>
                <w:lang w:val="en-US"/>
              </w:rPr>
            </w:pPr>
            <w:r w:rsidRPr="005B2A57">
              <w:rPr>
                <w:rFonts w:ascii="Times New Roman" w:hAnsi="Times New Roman" w:cs="Times New Roman"/>
                <w:sz w:val="24"/>
                <w:szCs w:val="24"/>
                <w:lang w:val="en-US"/>
              </w:rPr>
              <w:t>A series of events</w:t>
            </w:r>
          </w:p>
        </w:tc>
      </w:tr>
      <w:tr w:rsidR="00036587" w:rsidRPr="005B2A57" w14:paraId="2F4FE02D" w14:textId="77777777">
        <w:trPr>
          <w:trHeight w:val="1415"/>
        </w:trPr>
        <w:tc>
          <w:tcPr>
            <w:tcW w:w="214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F9DA2F" w14:textId="77777777"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Function</w:t>
            </w:r>
          </w:p>
        </w:tc>
        <w:tc>
          <w:tcPr>
            <w:tcW w:w="6884" w:type="dxa"/>
            <w:tcBorders>
              <w:top w:val="nil"/>
              <w:left w:val="nil"/>
              <w:bottom w:val="single" w:sz="8" w:space="0" w:color="000000"/>
              <w:right w:val="single" w:sz="8" w:space="0" w:color="000000"/>
            </w:tcBorders>
            <w:tcMar>
              <w:top w:w="100" w:type="dxa"/>
              <w:left w:w="100" w:type="dxa"/>
              <w:bottom w:w="100" w:type="dxa"/>
              <w:right w:w="100" w:type="dxa"/>
            </w:tcMar>
          </w:tcPr>
          <w:p w14:paraId="56341CAF" w14:textId="77777777" w:rsidR="00036587" w:rsidRPr="005B2A57" w:rsidRDefault="00C50426" w:rsidP="00A50A74">
            <w:pPr>
              <w:numPr>
                <w:ilvl w:val="0"/>
                <w:numId w:val="1"/>
              </w:numPr>
              <w:spacing w:after="0" w:line="480" w:lineRule="auto"/>
              <w:ind w:left="708"/>
              <w:rPr>
                <w:rFonts w:ascii="Times New Roman" w:hAnsi="Times New Roman" w:cs="Times New Roman"/>
                <w:sz w:val="24"/>
                <w:szCs w:val="24"/>
                <w:lang w:val="en-US"/>
              </w:rPr>
            </w:pPr>
            <w:r w:rsidRPr="005B2A57">
              <w:rPr>
                <w:rFonts w:ascii="Times New Roman" w:hAnsi="Times New Roman" w:cs="Times New Roman"/>
                <w:sz w:val="24"/>
                <w:szCs w:val="24"/>
                <w:lang w:val="en-US"/>
              </w:rPr>
              <w:t>Engagement with stakeholders</w:t>
            </w:r>
          </w:p>
          <w:p w14:paraId="283D4230" w14:textId="77777777" w:rsidR="00036587" w:rsidRPr="005B2A57" w:rsidRDefault="00C50426" w:rsidP="00A50A74">
            <w:pPr>
              <w:numPr>
                <w:ilvl w:val="0"/>
                <w:numId w:val="1"/>
              </w:numPr>
              <w:spacing w:after="0" w:line="480" w:lineRule="auto"/>
              <w:ind w:left="708"/>
              <w:rPr>
                <w:rFonts w:ascii="Times New Roman" w:hAnsi="Times New Roman" w:cs="Times New Roman"/>
                <w:sz w:val="24"/>
                <w:szCs w:val="24"/>
                <w:lang w:val="en-US"/>
              </w:rPr>
            </w:pPr>
            <w:r w:rsidRPr="005B2A57">
              <w:rPr>
                <w:rFonts w:ascii="Times New Roman" w:hAnsi="Times New Roman" w:cs="Times New Roman"/>
                <w:sz w:val="24"/>
                <w:szCs w:val="24"/>
                <w:lang w:val="en-US"/>
              </w:rPr>
              <w:t>Re-presenting narratives</w:t>
            </w:r>
          </w:p>
          <w:p w14:paraId="5120F265" w14:textId="77777777" w:rsidR="00036587" w:rsidRPr="005B2A57" w:rsidRDefault="00C50426" w:rsidP="00A50A74">
            <w:pPr>
              <w:numPr>
                <w:ilvl w:val="0"/>
                <w:numId w:val="1"/>
              </w:numPr>
              <w:spacing w:after="0" w:line="480" w:lineRule="auto"/>
              <w:ind w:left="708"/>
              <w:rPr>
                <w:rFonts w:ascii="Times New Roman" w:hAnsi="Times New Roman" w:cs="Times New Roman"/>
                <w:sz w:val="24"/>
                <w:szCs w:val="24"/>
                <w:lang w:val="en-US"/>
              </w:rPr>
            </w:pPr>
            <w:r w:rsidRPr="005B2A57">
              <w:rPr>
                <w:rFonts w:ascii="Times New Roman" w:hAnsi="Times New Roman" w:cs="Times New Roman"/>
                <w:sz w:val="24"/>
                <w:szCs w:val="24"/>
                <w:lang w:val="en-US"/>
              </w:rPr>
              <w:t>Creating content/narratives</w:t>
            </w:r>
          </w:p>
          <w:p w14:paraId="77FFE70D" w14:textId="77777777" w:rsidR="00036587" w:rsidRPr="005B2A57" w:rsidRDefault="00C50426" w:rsidP="00A50A74">
            <w:pPr>
              <w:numPr>
                <w:ilvl w:val="0"/>
                <w:numId w:val="1"/>
              </w:numPr>
              <w:spacing w:after="0" w:line="480" w:lineRule="auto"/>
              <w:ind w:left="708"/>
              <w:rPr>
                <w:rFonts w:ascii="Times New Roman" w:hAnsi="Times New Roman" w:cs="Times New Roman"/>
                <w:sz w:val="24"/>
                <w:szCs w:val="24"/>
                <w:lang w:val="en-US"/>
              </w:rPr>
            </w:pPr>
            <w:r w:rsidRPr="005B2A57">
              <w:rPr>
                <w:rFonts w:ascii="Times New Roman" w:hAnsi="Times New Roman" w:cs="Times New Roman"/>
                <w:sz w:val="24"/>
                <w:szCs w:val="24"/>
                <w:lang w:val="en-US"/>
              </w:rPr>
              <w:t>Planning the event</w:t>
            </w:r>
          </w:p>
        </w:tc>
      </w:tr>
      <w:tr w:rsidR="00036587" w:rsidRPr="005B2A57" w14:paraId="57F92420" w14:textId="77777777">
        <w:trPr>
          <w:trHeight w:val="1115"/>
        </w:trPr>
        <w:tc>
          <w:tcPr>
            <w:tcW w:w="214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657DAF7" w14:textId="77777777"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Target audience</w:t>
            </w:r>
          </w:p>
        </w:tc>
        <w:tc>
          <w:tcPr>
            <w:tcW w:w="6884" w:type="dxa"/>
            <w:tcBorders>
              <w:top w:val="nil"/>
              <w:left w:val="nil"/>
              <w:bottom w:val="single" w:sz="8" w:space="0" w:color="000000"/>
              <w:right w:val="single" w:sz="8" w:space="0" w:color="000000"/>
            </w:tcBorders>
            <w:tcMar>
              <w:top w:w="100" w:type="dxa"/>
              <w:left w:w="100" w:type="dxa"/>
              <w:bottom w:w="100" w:type="dxa"/>
              <w:right w:w="100" w:type="dxa"/>
            </w:tcMar>
          </w:tcPr>
          <w:p w14:paraId="13780D8D" w14:textId="77777777" w:rsidR="00036587" w:rsidRPr="005B2A57" w:rsidRDefault="00C50426" w:rsidP="00A50A74">
            <w:pPr>
              <w:numPr>
                <w:ilvl w:val="0"/>
                <w:numId w:val="5"/>
              </w:numPr>
              <w:spacing w:after="0" w:line="480" w:lineRule="auto"/>
              <w:ind w:left="708"/>
              <w:rPr>
                <w:rFonts w:ascii="Times New Roman" w:hAnsi="Times New Roman" w:cs="Times New Roman"/>
                <w:sz w:val="24"/>
                <w:szCs w:val="24"/>
                <w:lang w:val="en-US"/>
              </w:rPr>
            </w:pPr>
            <w:r w:rsidRPr="005B2A57">
              <w:rPr>
                <w:rFonts w:ascii="Times New Roman" w:hAnsi="Times New Roman" w:cs="Times New Roman"/>
                <w:sz w:val="24"/>
                <w:szCs w:val="24"/>
                <w:lang w:val="en-US"/>
              </w:rPr>
              <w:t>Insiders</w:t>
            </w:r>
          </w:p>
          <w:p w14:paraId="7FAC8933" w14:textId="77777777" w:rsidR="00036587" w:rsidRPr="005B2A57" w:rsidRDefault="00C50426" w:rsidP="00A50A74">
            <w:pPr>
              <w:numPr>
                <w:ilvl w:val="0"/>
                <w:numId w:val="5"/>
              </w:numPr>
              <w:spacing w:after="0" w:line="480" w:lineRule="auto"/>
              <w:ind w:left="708"/>
              <w:rPr>
                <w:rFonts w:ascii="Times New Roman" w:hAnsi="Times New Roman" w:cs="Times New Roman"/>
                <w:sz w:val="24"/>
                <w:szCs w:val="24"/>
                <w:lang w:val="en-US"/>
              </w:rPr>
            </w:pPr>
            <w:r w:rsidRPr="005B2A57">
              <w:rPr>
                <w:rFonts w:ascii="Times New Roman" w:hAnsi="Times New Roman" w:cs="Times New Roman"/>
                <w:sz w:val="24"/>
                <w:szCs w:val="24"/>
                <w:lang w:val="en-US"/>
              </w:rPr>
              <w:t>Stakeholders</w:t>
            </w:r>
          </w:p>
          <w:p w14:paraId="19186576" w14:textId="77777777" w:rsidR="00036587" w:rsidRPr="005B2A57" w:rsidRDefault="00C50426" w:rsidP="00A50A74">
            <w:pPr>
              <w:numPr>
                <w:ilvl w:val="0"/>
                <w:numId w:val="5"/>
              </w:numPr>
              <w:spacing w:after="0" w:line="480" w:lineRule="auto"/>
              <w:ind w:left="708"/>
              <w:rPr>
                <w:rFonts w:ascii="Times New Roman" w:hAnsi="Times New Roman" w:cs="Times New Roman"/>
                <w:sz w:val="24"/>
                <w:szCs w:val="24"/>
                <w:lang w:val="en-US"/>
              </w:rPr>
            </w:pPr>
            <w:r w:rsidRPr="005B2A57">
              <w:rPr>
                <w:rFonts w:ascii="Times New Roman" w:hAnsi="Times New Roman" w:cs="Times New Roman"/>
                <w:sz w:val="24"/>
                <w:szCs w:val="24"/>
                <w:lang w:val="en-US"/>
              </w:rPr>
              <w:t>Publics</w:t>
            </w:r>
          </w:p>
        </w:tc>
      </w:tr>
      <w:tr w:rsidR="00036587" w:rsidRPr="005B2A57" w14:paraId="4D31F432" w14:textId="77777777">
        <w:trPr>
          <w:trHeight w:val="815"/>
        </w:trPr>
        <w:tc>
          <w:tcPr>
            <w:tcW w:w="214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EBCBAD" w14:textId="77777777"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Availability</w:t>
            </w:r>
          </w:p>
        </w:tc>
        <w:tc>
          <w:tcPr>
            <w:tcW w:w="6884" w:type="dxa"/>
            <w:tcBorders>
              <w:top w:val="nil"/>
              <w:left w:val="nil"/>
              <w:bottom w:val="single" w:sz="8" w:space="0" w:color="000000"/>
              <w:right w:val="single" w:sz="8" w:space="0" w:color="000000"/>
            </w:tcBorders>
            <w:tcMar>
              <w:top w:w="100" w:type="dxa"/>
              <w:left w:w="100" w:type="dxa"/>
              <w:bottom w:w="100" w:type="dxa"/>
              <w:right w:w="100" w:type="dxa"/>
            </w:tcMar>
          </w:tcPr>
          <w:p w14:paraId="6FF15C79" w14:textId="77777777" w:rsidR="00036587" w:rsidRPr="005B2A57" w:rsidRDefault="00C50426" w:rsidP="00A50A74">
            <w:pPr>
              <w:numPr>
                <w:ilvl w:val="0"/>
                <w:numId w:val="2"/>
              </w:numPr>
              <w:spacing w:after="0" w:line="480" w:lineRule="auto"/>
              <w:ind w:left="708"/>
              <w:rPr>
                <w:rFonts w:ascii="Times New Roman" w:hAnsi="Times New Roman" w:cs="Times New Roman"/>
                <w:sz w:val="24"/>
                <w:szCs w:val="24"/>
                <w:lang w:val="en-US"/>
              </w:rPr>
            </w:pPr>
            <w:r w:rsidRPr="005B2A57">
              <w:rPr>
                <w:rFonts w:ascii="Times New Roman" w:hAnsi="Times New Roman" w:cs="Times New Roman"/>
                <w:sz w:val="24"/>
                <w:szCs w:val="24"/>
                <w:lang w:val="en-US"/>
              </w:rPr>
              <w:t>Live</w:t>
            </w:r>
          </w:p>
          <w:p w14:paraId="197589BE" w14:textId="77777777" w:rsidR="00036587" w:rsidRPr="005B2A57" w:rsidRDefault="00C50426" w:rsidP="00A50A74">
            <w:pPr>
              <w:numPr>
                <w:ilvl w:val="0"/>
                <w:numId w:val="2"/>
              </w:numPr>
              <w:spacing w:after="0" w:line="480" w:lineRule="auto"/>
              <w:ind w:left="708"/>
              <w:rPr>
                <w:rFonts w:ascii="Times New Roman" w:hAnsi="Times New Roman" w:cs="Times New Roman"/>
                <w:sz w:val="24"/>
                <w:szCs w:val="24"/>
                <w:lang w:val="en-US"/>
              </w:rPr>
            </w:pPr>
            <w:r w:rsidRPr="005B2A57">
              <w:rPr>
                <w:rFonts w:ascii="Times New Roman" w:hAnsi="Times New Roman" w:cs="Times New Roman"/>
                <w:sz w:val="24"/>
                <w:szCs w:val="24"/>
                <w:lang w:val="en-US"/>
              </w:rPr>
              <w:lastRenderedPageBreak/>
              <w:t>Live and on-demand</w:t>
            </w:r>
          </w:p>
        </w:tc>
      </w:tr>
      <w:tr w:rsidR="00036587" w:rsidRPr="005B2A57" w14:paraId="55540823" w14:textId="77777777">
        <w:trPr>
          <w:trHeight w:val="815"/>
        </w:trPr>
        <w:tc>
          <w:tcPr>
            <w:tcW w:w="214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0720885" w14:textId="77777777"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lastRenderedPageBreak/>
              <w:t>Interactivity</w:t>
            </w:r>
          </w:p>
        </w:tc>
        <w:tc>
          <w:tcPr>
            <w:tcW w:w="6884" w:type="dxa"/>
            <w:tcBorders>
              <w:top w:val="nil"/>
              <w:left w:val="nil"/>
              <w:bottom w:val="single" w:sz="8" w:space="0" w:color="000000"/>
              <w:right w:val="single" w:sz="8" w:space="0" w:color="000000"/>
            </w:tcBorders>
            <w:tcMar>
              <w:top w:w="100" w:type="dxa"/>
              <w:left w:w="100" w:type="dxa"/>
              <w:bottom w:w="100" w:type="dxa"/>
              <w:right w:w="100" w:type="dxa"/>
            </w:tcMar>
          </w:tcPr>
          <w:p w14:paraId="01BD8E71" w14:textId="77777777" w:rsidR="00036587" w:rsidRPr="005B2A57" w:rsidRDefault="00C50426" w:rsidP="00A50A74">
            <w:pPr>
              <w:numPr>
                <w:ilvl w:val="0"/>
                <w:numId w:val="3"/>
              </w:num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Planned interactions</w:t>
            </w:r>
          </w:p>
          <w:p w14:paraId="600E3A66" w14:textId="77777777" w:rsidR="00036587" w:rsidRPr="005B2A57" w:rsidRDefault="00C50426" w:rsidP="00A50A74">
            <w:pPr>
              <w:numPr>
                <w:ilvl w:val="0"/>
                <w:numId w:val="3"/>
              </w:num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Open to stakeholders</w:t>
            </w:r>
          </w:p>
          <w:p w14:paraId="1CE3417D" w14:textId="77777777" w:rsidR="00036587" w:rsidRPr="005B2A57" w:rsidRDefault="00C50426" w:rsidP="00A50A74">
            <w:pPr>
              <w:numPr>
                <w:ilvl w:val="0"/>
                <w:numId w:val="3"/>
              </w:num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Closed</w:t>
            </w:r>
          </w:p>
        </w:tc>
      </w:tr>
    </w:tbl>
    <w:p w14:paraId="2534CA93" w14:textId="17BE77B2" w:rsidR="00036587" w:rsidRPr="005B2A57" w:rsidRDefault="00C50426" w:rsidP="00A50A74">
      <w:pPr>
        <w:spacing w:after="0" w:line="240" w:lineRule="auto"/>
        <w:rPr>
          <w:rFonts w:ascii="Times New Roman" w:hAnsi="Times New Roman" w:cs="Times New Roman"/>
          <w:i/>
          <w:sz w:val="24"/>
          <w:szCs w:val="24"/>
          <w:lang w:val="en-US"/>
        </w:rPr>
      </w:pPr>
      <w:r w:rsidRPr="005B2A57">
        <w:rPr>
          <w:rFonts w:ascii="Times New Roman" w:hAnsi="Times New Roman" w:cs="Times New Roman"/>
          <w:i/>
          <w:sz w:val="24"/>
          <w:szCs w:val="24"/>
          <w:lang w:val="en-US"/>
        </w:rPr>
        <w:t>Table 1</w:t>
      </w:r>
      <w:r w:rsidRPr="005B2A57">
        <w:rPr>
          <w:rFonts w:ascii="Times New Roman" w:hAnsi="Times New Roman" w:cs="Times New Roman"/>
          <w:i/>
          <w:sz w:val="24"/>
          <w:szCs w:val="24"/>
          <w:lang w:val="en-US"/>
        </w:rPr>
        <w:t xml:space="preserve">: </w:t>
      </w:r>
      <w:r w:rsidRPr="005B2A57">
        <w:rPr>
          <w:rFonts w:ascii="Times New Roman" w:hAnsi="Times New Roman" w:cs="Times New Roman"/>
          <w:i/>
          <w:sz w:val="24"/>
          <w:szCs w:val="24"/>
          <w:lang w:val="en-US"/>
        </w:rPr>
        <w:t>A typology of pre-events based on their configuration, function, target audience, availability, and interactivity</w:t>
      </w:r>
    </w:p>
    <w:p w14:paraId="754C24E4" w14:textId="77777777" w:rsidR="00036587" w:rsidRPr="005B2A57" w:rsidRDefault="00036587" w:rsidP="00A50A74">
      <w:pPr>
        <w:spacing w:after="0" w:line="480" w:lineRule="auto"/>
        <w:rPr>
          <w:rFonts w:ascii="Times New Roman" w:hAnsi="Times New Roman" w:cs="Times New Roman"/>
          <w:i/>
          <w:sz w:val="24"/>
          <w:szCs w:val="24"/>
          <w:lang w:val="en-US"/>
        </w:rPr>
      </w:pPr>
    </w:p>
    <w:p w14:paraId="05304794" w14:textId="77777777" w:rsidR="00036587" w:rsidRPr="005B2A57" w:rsidRDefault="00036587" w:rsidP="00A50A74">
      <w:pPr>
        <w:spacing w:after="0" w:line="480" w:lineRule="auto"/>
        <w:rPr>
          <w:rFonts w:ascii="Times New Roman" w:hAnsi="Times New Roman" w:cs="Times New Roman"/>
          <w:i/>
          <w:sz w:val="24"/>
          <w:szCs w:val="24"/>
          <w:lang w:val="en-US"/>
        </w:rPr>
      </w:pPr>
    </w:p>
    <w:p w14:paraId="283698E9" w14:textId="77777777"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b/>
          <w:sz w:val="24"/>
          <w:szCs w:val="24"/>
          <w:lang w:val="en-US"/>
        </w:rPr>
        <w:t>Expo 2020’s pre-events</w:t>
      </w:r>
    </w:p>
    <w:p w14:paraId="5194F990" w14:textId="77777777" w:rsidR="00036587" w:rsidRPr="005B2A57" w:rsidRDefault="00036587" w:rsidP="00A50A74">
      <w:pPr>
        <w:spacing w:after="0" w:line="480" w:lineRule="auto"/>
        <w:rPr>
          <w:rFonts w:ascii="Times New Roman" w:hAnsi="Times New Roman" w:cs="Times New Roman"/>
          <w:sz w:val="24"/>
          <w:szCs w:val="24"/>
          <w:lang w:val="en-US"/>
        </w:rPr>
      </w:pPr>
    </w:p>
    <w:p w14:paraId="5B36D7C3" w14:textId="0768B3FB" w:rsidR="00036587" w:rsidRPr="005B2A57" w:rsidRDefault="00C50426" w:rsidP="00A50A74">
      <w:pPr>
        <w:spacing w:after="0" w:line="480" w:lineRule="auto"/>
        <w:rPr>
          <w:rFonts w:ascii="Times New Roman" w:hAnsi="Times New Roman" w:cs="Times New Roman"/>
          <w:sz w:val="24"/>
          <w:szCs w:val="24"/>
          <w:highlight w:val="yellow"/>
          <w:lang w:val="en-US"/>
        </w:rPr>
      </w:pPr>
      <w:r w:rsidRPr="005B2A57">
        <w:rPr>
          <w:rFonts w:ascii="Times New Roman" w:hAnsi="Times New Roman" w:cs="Times New Roman"/>
          <w:color w:val="000000" w:themeColor="text1"/>
          <w:sz w:val="24"/>
          <w:szCs w:val="24"/>
          <w:lang w:val="en-US"/>
        </w:rPr>
        <w:t>Figure</w:t>
      </w:r>
      <w:r w:rsidRPr="005B2A57">
        <w:rPr>
          <w:rFonts w:ascii="Times New Roman" w:hAnsi="Times New Roman" w:cs="Times New Roman"/>
          <w:color w:val="000000" w:themeColor="text1"/>
          <w:sz w:val="24"/>
          <w:szCs w:val="24"/>
          <w:lang w:val="en-US"/>
        </w:rPr>
        <w:t xml:space="preserve"> 1 </w:t>
      </w:r>
      <w:r w:rsidRPr="005B2A57">
        <w:rPr>
          <w:rFonts w:ascii="Times New Roman" w:hAnsi="Times New Roman" w:cs="Times New Roman"/>
          <w:sz w:val="24"/>
          <w:szCs w:val="24"/>
          <w:lang w:val="en-US"/>
        </w:rPr>
        <w:t>categorizes</w:t>
      </w:r>
      <w:r w:rsidRPr="005B2A57">
        <w:rPr>
          <w:rFonts w:ascii="Times New Roman" w:hAnsi="Times New Roman" w:cs="Times New Roman"/>
          <w:sz w:val="24"/>
          <w:szCs w:val="24"/>
          <w:lang w:val="en-US"/>
        </w:rPr>
        <w:t xml:space="preserve"> the Expo 2020 digital pre-events in relation to function, interactivity and target audience. The diagram shows the frequency for each of the categories. From an analytical point of view, it shows the relations between function, target audien</w:t>
      </w:r>
      <w:r w:rsidRPr="005B2A57">
        <w:rPr>
          <w:rFonts w:ascii="Times New Roman" w:hAnsi="Times New Roman" w:cs="Times New Roman"/>
          <w:sz w:val="24"/>
          <w:szCs w:val="24"/>
          <w:lang w:val="en-US"/>
        </w:rPr>
        <w:t xml:space="preserve">ce and interactivities of pre-events. </w:t>
      </w:r>
    </w:p>
    <w:p w14:paraId="6200347F" w14:textId="77777777" w:rsidR="00036587" w:rsidRPr="005B2A57" w:rsidRDefault="00036587" w:rsidP="00A50A74">
      <w:pPr>
        <w:spacing w:after="0" w:line="480" w:lineRule="auto"/>
        <w:rPr>
          <w:rFonts w:ascii="Times New Roman" w:hAnsi="Times New Roman" w:cs="Times New Roman"/>
          <w:sz w:val="24"/>
          <w:szCs w:val="24"/>
          <w:lang w:val="en-US"/>
        </w:rPr>
      </w:pPr>
    </w:p>
    <w:p w14:paraId="178B848B" w14:textId="01029E37"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noProof/>
          <w:sz w:val="24"/>
          <w:szCs w:val="24"/>
          <w:lang w:val="en-US"/>
        </w:rPr>
        <w:drawing>
          <wp:inline distT="114300" distB="114300" distL="114300" distR="114300" wp14:anchorId="2C4CF51E" wp14:editId="1F645BB0">
            <wp:extent cx="5731200" cy="25527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731200" cy="2552700"/>
                    </a:xfrm>
                    <a:prstGeom prst="rect">
                      <a:avLst/>
                    </a:prstGeom>
                    <a:ln/>
                  </pic:spPr>
                </pic:pic>
              </a:graphicData>
            </a:graphic>
          </wp:inline>
        </w:drawing>
      </w:r>
    </w:p>
    <w:p w14:paraId="5E689273" w14:textId="477FD754" w:rsidR="00036587" w:rsidRPr="005B2A57" w:rsidRDefault="00A50A74" w:rsidP="00A50A74">
      <w:pPr>
        <w:spacing w:after="0" w:line="480" w:lineRule="auto"/>
        <w:rPr>
          <w:rFonts w:ascii="Times New Roman" w:hAnsi="Times New Roman" w:cs="Times New Roman"/>
          <w:i/>
          <w:sz w:val="24"/>
          <w:szCs w:val="24"/>
          <w:lang w:val="en-US"/>
        </w:rPr>
      </w:pPr>
      <w:r w:rsidRPr="005B2A57">
        <w:rPr>
          <w:rFonts w:ascii="Times New Roman" w:hAnsi="Times New Roman" w:cs="Times New Roman"/>
          <w:i/>
          <w:sz w:val="24"/>
          <w:szCs w:val="24"/>
          <w:lang w:val="en-US"/>
        </w:rPr>
        <w:t>Figure</w:t>
      </w:r>
      <w:r w:rsidR="00C50426" w:rsidRPr="005B2A57">
        <w:rPr>
          <w:rFonts w:ascii="Times New Roman" w:hAnsi="Times New Roman" w:cs="Times New Roman"/>
          <w:i/>
          <w:sz w:val="24"/>
          <w:szCs w:val="24"/>
          <w:lang w:val="en-US"/>
        </w:rPr>
        <w:t xml:space="preserve"> 1: Expo 2020 digital pre-events in relation to function, interactivity and target audience</w:t>
      </w:r>
    </w:p>
    <w:p w14:paraId="6CC72A54" w14:textId="77777777" w:rsidR="00036587" w:rsidRPr="005B2A57" w:rsidRDefault="00036587" w:rsidP="00A50A74">
      <w:pPr>
        <w:spacing w:after="0" w:line="480" w:lineRule="auto"/>
        <w:rPr>
          <w:rFonts w:ascii="Times New Roman" w:hAnsi="Times New Roman" w:cs="Times New Roman"/>
          <w:sz w:val="24"/>
          <w:szCs w:val="24"/>
          <w:lang w:val="en-US"/>
        </w:rPr>
      </w:pPr>
    </w:p>
    <w:p w14:paraId="2FAFCF94" w14:textId="1F18DB06"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The group of nine pre-events in brown and red constitutes the majority. Pre-events are generally used as tools to</w:t>
      </w:r>
      <w:r w:rsidRPr="005B2A57">
        <w:rPr>
          <w:rFonts w:ascii="Times New Roman" w:hAnsi="Times New Roman" w:cs="Times New Roman"/>
          <w:sz w:val="24"/>
          <w:szCs w:val="24"/>
          <w:lang w:val="en-US"/>
        </w:rPr>
        <w:t xml:space="preserve"> re-present narratives to publics in closed contexts. An example of pre-events that falls into this group is the “Architect Talk: Italy x Germany”, a webinar organized</w:t>
      </w:r>
      <w:r w:rsidRPr="005B2A57">
        <w:rPr>
          <w:rFonts w:ascii="Times New Roman" w:hAnsi="Times New Roman" w:cs="Times New Roman"/>
          <w:sz w:val="24"/>
          <w:szCs w:val="24"/>
          <w:lang w:val="en-US"/>
        </w:rPr>
        <w:t xml:space="preserve"> by the German Pavilion’s team in which the architects of the Italian and German Pavilion</w:t>
      </w:r>
      <w:r w:rsidRPr="005B2A57">
        <w:rPr>
          <w:rFonts w:ascii="Times New Roman" w:hAnsi="Times New Roman" w:cs="Times New Roman"/>
          <w:sz w:val="24"/>
          <w:szCs w:val="24"/>
          <w:lang w:val="en-US"/>
        </w:rPr>
        <w:t xml:space="preserve">s discuss and describe the architectural features of the two pavilions (Figure 2). </w:t>
      </w:r>
    </w:p>
    <w:p w14:paraId="06BB2C5F" w14:textId="77777777" w:rsidR="00036587" w:rsidRPr="005B2A57" w:rsidRDefault="00036587" w:rsidP="00A50A74">
      <w:pPr>
        <w:spacing w:after="0" w:line="480" w:lineRule="auto"/>
        <w:rPr>
          <w:rFonts w:ascii="Times New Roman" w:hAnsi="Times New Roman" w:cs="Times New Roman"/>
          <w:sz w:val="24"/>
          <w:szCs w:val="24"/>
          <w:lang w:val="en-US"/>
        </w:rPr>
      </w:pPr>
    </w:p>
    <w:p w14:paraId="55A1F68D" w14:textId="77777777" w:rsidR="00036587" w:rsidRPr="005B2A57" w:rsidRDefault="00036587" w:rsidP="00A50A74">
      <w:pPr>
        <w:spacing w:after="0" w:line="480" w:lineRule="auto"/>
        <w:rPr>
          <w:rFonts w:ascii="Times New Roman" w:hAnsi="Times New Roman" w:cs="Times New Roman"/>
          <w:sz w:val="24"/>
          <w:szCs w:val="24"/>
          <w:lang w:val="en-US"/>
        </w:rPr>
      </w:pPr>
    </w:p>
    <w:p w14:paraId="417C6859" w14:textId="77777777"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noProof/>
          <w:sz w:val="24"/>
          <w:szCs w:val="24"/>
          <w:lang w:val="en-US"/>
        </w:rPr>
        <w:drawing>
          <wp:inline distT="114300" distB="114300" distL="114300" distR="114300" wp14:anchorId="681E35F8" wp14:editId="6A094C6C">
            <wp:extent cx="5731200" cy="47498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731200" cy="4749800"/>
                    </a:xfrm>
                    <a:prstGeom prst="rect">
                      <a:avLst/>
                    </a:prstGeom>
                    <a:ln/>
                  </pic:spPr>
                </pic:pic>
              </a:graphicData>
            </a:graphic>
          </wp:inline>
        </w:drawing>
      </w:r>
    </w:p>
    <w:p w14:paraId="5CBBF21A" w14:textId="2B935B57" w:rsidR="00036587" w:rsidRPr="005B2A57" w:rsidRDefault="00A50A74" w:rsidP="00A50A74">
      <w:pPr>
        <w:spacing w:after="0" w:line="240" w:lineRule="auto"/>
        <w:rPr>
          <w:rFonts w:ascii="Times New Roman" w:hAnsi="Times New Roman" w:cs="Times New Roman"/>
          <w:i/>
          <w:iCs/>
          <w:sz w:val="24"/>
          <w:szCs w:val="24"/>
          <w:lang w:val="en-US"/>
        </w:rPr>
      </w:pPr>
      <w:r w:rsidRPr="005B2A57">
        <w:rPr>
          <w:rFonts w:ascii="Times New Roman" w:hAnsi="Times New Roman" w:cs="Times New Roman"/>
          <w:i/>
          <w:iCs/>
          <w:sz w:val="24"/>
          <w:szCs w:val="24"/>
          <w:lang w:val="en-US"/>
        </w:rPr>
        <w:t>Figure</w:t>
      </w:r>
      <w:r w:rsidR="00C50426" w:rsidRPr="005B2A57">
        <w:rPr>
          <w:rFonts w:ascii="Times New Roman" w:hAnsi="Times New Roman" w:cs="Times New Roman"/>
          <w:i/>
          <w:iCs/>
          <w:sz w:val="24"/>
          <w:szCs w:val="24"/>
          <w:lang w:val="en-US"/>
        </w:rPr>
        <w:t xml:space="preserve"> 2 -</w:t>
      </w:r>
      <w:r w:rsidR="00C50426" w:rsidRPr="005B2A57">
        <w:rPr>
          <w:rFonts w:ascii="Times New Roman" w:hAnsi="Times New Roman" w:cs="Times New Roman"/>
          <w:i/>
          <w:iCs/>
          <w:sz w:val="24"/>
          <w:szCs w:val="24"/>
          <w:lang w:val="en-US"/>
        </w:rPr>
        <w:t xml:space="preserve"> a screenshot of the online pre-event </w:t>
      </w:r>
      <w:proofErr w:type="spellStart"/>
      <w:r w:rsidR="00C50426" w:rsidRPr="005B2A57">
        <w:rPr>
          <w:rFonts w:ascii="Times New Roman" w:hAnsi="Times New Roman" w:cs="Times New Roman"/>
          <w:i/>
          <w:iCs/>
          <w:sz w:val="24"/>
          <w:szCs w:val="24"/>
          <w:lang w:val="en-US"/>
        </w:rPr>
        <w:t>organised</w:t>
      </w:r>
      <w:proofErr w:type="spellEnd"/>
      <w:r w:rsidR="00C50426" w:rsidRPr="005B2A57">
        <w:rPr>
          <w:rFonts w:ascii="Times New Roman" w:hAnsi="Times New Roman" w:cs="Times New Roman"/>
          <w:i/>
          <w:iCs/>
          <w:sz w:val="24"/>
          <w:szCs w:val="24"/>
          <w:lang w:val="en-US"/>
        </w:rPr>
        <w:t xml:space="preserve"> by the German Pavilion team titled “Architect Talk: Italy x Germany”.</w:t>
      </w:r>
    </w:p>
    <w:p w14:paraId="3143AC22" w14:textId="77777777" w:rsidR="00036587" w:rsidRPr="005B2A57" w:rsidRDefault="00036587" w:rsidP="00A50A74">
      <w:pPr>
        <w:spacing w:after="0" w:line="480" w:lineRule="auto"/>
        <w:rPr>
          <w:rFonts w:ascii="Times New Roman" w:hAnsi="Times New Roman" w:cs="Times New Roman"/>
          <w:sz w:val="24"/>
          <w:szCs w:val="24"/>
          <w:lang w:val="en-US"/>
        </w:rPr>
      </w:pPr>
    </w:p>
    <w:p w14:paraId="0C2F6248" w14:textId="1797474E"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lastRenderedPageBreak/>
        <w:t>Interestingly, these events are usually recorded “live” and then the recording is made available to publics without any editing. This indicates that, despite the fact that the function of these events is to re-present narratives for publics, the actual cra</w:t>
      </w:r>
      <w:r w:rsidRPr="005B2A57">
        <w:rPr>
          <w:rFonts w:ascii="Times New Roman" w:hAnsi="Times New Roman" w:cs="Times New Roman"/>
          <w:sz w:val="24"/>
          <w:szCs w:val="24"/>
          <w:lang w:val="en-US"/>
        </w:rPr>
        <w:t>fting of the event tends to be rudimental. There are two main reasons that explain this phenomenon. Firstly, we believe that the lack of editing suggests an underlining lack of resources. Indeed, as the main event is still far off, it seems that countries’</w:t>
      </w:r>
      <w:r w:rsidRPr="005B2A57">
        <w:rPr>
          <w:rFonts w:ascii="Times New Roman" w:hAnsi="Times New Roman" w:cs="Times New Roman"/>
          <w:sz w:val="24"/>
          <w:szCs w:val="24"/>
          <w:lang w:val="en-US"/>
        </w:rPr>
        <w:t xml:space="preserve"> communication teams are lacking in human and economic resources that may become available closer to the main event. Secondly, the practice of making video recordings of live webinars available to publics (so that it can be re</w:t>
      </w:r>
      <w:r>
        <w:rPr>
          <w:rFonts w:ascii="Times New Roman" w:hAnsi="Times New Roman" w:cs="Times New Roman"/>
          <w:sz w:val="24"/>
          <w:szCs w:val="24"/>
          <w:lang w:val="en-US"/>
        </w:rPr>
        <w:t>-</w:t>
      </w:r>
      <w:r w:rsidRPr="005B2A57">
        <w:rPr>
          <w:rFonts w:ascii="Times New Roman" w:hAnsi="Times New Roman" w:cs="Times New Roman"/>
          <w:sz w:val="24"/>
          <w:szCs w:val="24"/>
          <w:lang w:val="en-US"/>
        </w:rPr>
        <w:t>watched after the event) is be</w:t>
      </w:r>
      <w:r w:rsidRPr="005B2A57">
        <w:rPr>
          <w:rFonts w:ascii="Times New Roman" w:hAnsi="Times New Roman" w:cs="Times New Roman"/>
          <w:sz w:val="24"/>
          <w:szCs w:val="24"/>
          <w:lang w:val="en-US"/>
        </w:rPr>
        <w:t>coming increasingly more acceptable for publics during the Covid-19 pandemic. Publics are getting increasingly used to “new temporalities” by applying strategies such as fast forwarding, increasing the speed of the video (“speed watching”), or skimming con</w:t>
      </w:r>
      <w:r w:rsidRPr="005B2A57">
        <w:rPr>
          <w:rFonts w:ascii="Times New Roman" w:hAnsi="Times New Roman" w:cs="Times New Roman"/>
          <w:sz w:val="24"/>
          <w:szCs w:val="24"/>
          <w:lang w:val="en-US"/>
        </w:rPr>
        <w:t xml:space="preserve">tent (Alexander 2017). At the same time, publics tend to welcome unedited video content if it is authentic. </w:t>
      </w:r>
    </w:p>
    <w:p w14:paraId="10DA140A" w14:textId="77777777" w:rsidR="00036587" w:rsidRPr="005B2A57" w:rsidRDefault="00036587" w:rsidP="00A50A74">
      <w:pPr>
        <w:spacing w:after="0" w:line="480" w:lineRule="auto"/>
        <w:rPr>
          <w:rFonts w:ascii="Times New Roman" w:hAnsi="Times New Roman" w:cs="Times New Roman"/>
          <w:sz w:val="24"/>
          <w:szCs w:val="24"/>
          <w:lang w:val="en-US"/>
        </w:rPr>
      </w:pPr>
    </w:p>
    <w:p w14:paraId="193F79BC" w14:textId="74102DC5"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Referring back to Figure 1, the six pre-events in purple are “open-to-stakeholders” events. This means that they allow the audience to participate</w:t>
      </w:r>
      <w:r w:rsidRPr="005B2A57">
        <w:rPr>
          <w:rFonts w:ascii="Times New Roman" w:hAnsi="Times New Roman" w:cs="Times New Roman"/>
          <w:sz w:val="24"/>
          <w:szCs w:val="24"/>
          <w:lang w:val="en-US"/>
        </w:rPr>
        <w:t xml:space="preserve"> in the event by, for example, providing a Q&amp;A session and opening up the floor for questions. The findings clearly indicate that pre-events with a specific target audience (experts and insiders, for example) are more likely to take advantage of the intera</w:t>
      </w:r>
      <w:r w:rsidRPr="005B2A57">
        <w:rPr>
          <w:rFonts w:ascii="Times New Roman" w:hAnsi="Times New Roman" w:cs="Times New Roman"/>
          <w:sz w:val="24"/>
          <w:szCs w:val="24"/>
          <w:lang w:val="en-US"/>
        </w:rPr>
        <w:t>ctivity offered by video conferencing platforms such as Zoom.  One of the events that falls into this category is  “Expo 2020 Dubai: A Regional Platform of Opportunity for U.S. States and Businesses” organized</w:t>
      </w:r>
      <w:r w:rsidRPr="005B2A57">
        <w:rPr>
          <w:rFonts w:ascii="Times New Roman" w:hAnsi="Times New Roman" w:cs="Times New Roman"/>
          <w:sz w:val="24"/>
          <w:szCs w:val="24"/>
          <w:lang w:val="en-US"/>
        </w:rPr>
        <w:t xml:space="preserve"> by the United States pavilion. This seminar ta</w:t>
      </w:r>
      <w:r w:rsidRPr="005B2A57">
        <w:rPr>
          <w:rFonts w:ascii="Times New Roman" w:hAnsi="Times New Roman" w:cs="Times New Roman"/>
          <w:sz w:val="24"/>
          <w:szCs w:val="24"/>
          <w:lang w:val="en-US"/>
        </w:rPr>
        <w:t>rgeted states and businesses interested in participating in Expo 2020. This one-off event provided key information about the exposition and the American pavilion to potential stakeholders, presenting the different opportunities for states and businesses to</w:t>
      </w:r>
      <w:r w:rsidRPr="005B2A57">
        <w:rPr>
          <w:rFonts w:ascii="Times New Roman" w:hAnsi="Times New Roman" w:cs="Times New Roman"/>
          <w:sz w:val="24"/>
          <w:szCs w:val="24"/>
          <w:lang w:val="en-US"/>
        </w:rPr>
        <w:t xml:space="preserve"> get involved. The event had a Q&amp;A session in which potential partners could ask questions and seek </w:t>
      </w:r>
      <w:r w:rsidRPr="005B2A57">
        <w:rPr>
          <w:rFonts w:ascii="Times New Roman" w:hAnsi="Times New Roman" w:cs="Times New Roman"/>
          <w:sz w:val="24"/>
          <w:szCs w:val="24"/>
          <w:lang w:val="en-US"/>
        </w:rPr>
        <w:lastRenderedPageBreak/>
        <w:t>clarifications. As part of this event, key contacts were also provided to the participants indicating the willingness by the organizers</w:t>
      </w:r>
      <w:r w:rsidRPr="005B2A57">
        <w:rPr>
          <w:rFonts w:ascii="Times New Roman" w:hAnsi="Times New Roman" w:cs="Times New Roman"/>
          <w:sz w:val="24"/>
          <w:szCs w:val="24"/>
          <w:lang w:val="en-US"/>
        </w:rPr>
        <w:t xml:space="preserve"> to keep the conversa</w:t>
      </w:r>
      <w:r w:rsidRPr="005B2A57">
        <w:rPr>
          <w:rFonts w:ascii="Times New Roman" w:hAnsi="Times New Roman" w:cs="Times New Roman"/>
          <w:sz w:val="24"/>
          <w:szCs w:val="24"/>
          <w:lang w:val="en-US"/>
        </w:rPr>
        <w:t xml:space="preserve">tion with their stakeholders alive even after the pre-event. </w:t>
      </w:r>
    </w:p>
    <w:p w14:paraId="332DDA52" w14:textId="77777777" w:rsidR="00036587" w:rsidRPr="005B2A57" w:rsidRDefault="00036587" w:rsidP="00A50A74">
      <w:pPr>
        <w:spacing w:after="0" w:line="480" w:lineRule="auto"/>
        <w:rPr>
          <w:rFonts w:ascii="Times New Roman" w:hAnsi="Times New Roman" w:cs="Times New Roman"/>
          <w:sz w:val="24"/>
          <w:szCs w:val="24"/>
          <w:lang w:val="en-US"/>
        </w:rPr>
      </w:pPr>
    </w:p>
    <w:p w14:paraId="011D3809" w14:textId="77777777"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noProof/>
          <w:sz w:val="24"/>
          <w:szCs w:val="24"/>
          <w:lang w:val="en-US"/>
        </w:rPr>
        <w:drawing>
          <wp:inline distT="114300" distB="114300" distL="114300" distR="114300" wp14:anchorId="01C5C991" wp14:editId="1BD27C98">
            <wp:extent cx="5731200" cy="32258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731200" cy="3225800"/>
                    </a:xfrm>
                    <a:prstGeom prst="rect">
                      <a:avLst/>
                    </a:prstGeom>
                    <a:ln/>
                  </pic:spPr>
                </pic:pic>
              </a:graphicData>
            </a:graphic>
          </wp:inline>
        </w:drawing>
      </w:r>
    </w:p>
    <w:p w14:paraId="58FB663E" w14:textId="2C77BA50" w:rsidR="00036587" w:rsidRPr="005B2A57" w:rsidRDefault="00A50A74" w:rsidP="00A50A74">
      <w:pPr>
        <w:spacing w:after="0" w:line="240" w:lineRule="auto"/>
        <w:rPr>
          <w:rFonts w:ascii="Times New Roman" w:hAnsi="Times New Roman" w:cs="Times New Roman"/>
          <w:i/>
          <w:iCs/>
          <w:sz w:val="24"/>
          <w:szCs w:val="24"/>
          <w:lang w:val="en-US"/>
        </w:rPr>
      </w:pPr>
      <w:r w:rsidRPr="005B2A57">
        <w:rPr>
          <w:rFonts w:ascii="Times New Roman" w:hAnsi="Times New Roman" w:cs="Times New Roman"/>
          <w:i/>
          <w:iCs/>
          <w:sz w:val="24"/>
          <w:szCs w:val="24"/>
          <w:lang w:val="en-US"/>
        </w:rPr>
        <w:t>Figure</w:t>
      </w:r>
      <w:r w:rsidR="00C50426" w:rsidRPr="005B2A57">
        <w:rPr>
          <w:rFonts w:ascii="Times New Roman" w:hAnsi="Times New Roman" w:cs="Times New Roman"/>
          <w:i/>
          <w:iCs/>
          <w:sz w:val="24"/>
          <w:szCs w:val="24"/>
          <w:lang w:val="en-US"/>
        </w:rPr>
        <w:t xml:space="preserve"> 3: a screenshot of the online pre-event </w:t>
      </w:r>
      <w:proofErr w:type="spellStart"/>
      <w:r w:rsidR="00C50426" w:rsidRPr="005B2A57">
        <w:rPr>
          <w:rFonts w:ascii="Times New Roman" w:hAnsi="Times New Roman" w:cs="Times New Roman"/>
          <w:i/>
          <w:iCs/>
          <w:sz w:val="24"/>
          <w:szCs w:val="24"/>
          <w:lang w:val="en-US"/>
        </w:rPr>
        <w:t>organised</w:t>
      </w:r>
      <w:proofErr w:type="spellEnd"/>
      <w:r w:rsidR="00C50426" w:rsidRPr="005B2A57">
        <w:rPr>
          <w:rFonts w:ascii="Times New Roman" w:hAnsi="Times New Roman" w:cs="Times New Roman"/>
          <w:i/>
          <w:iCs/>
          <w:sz w:val="24"/>
          <w:szCs w:val="24"/>
          <w:lang w:val="en-US"/>
        </w:rPr>
        <w:t xml:space="preserve"> by the USA Pavilion Team  titled “Expo 2020 Dubai: A Regional Platform of Opportunity for U.S. States and Businesses”</w:t>
      </w:r>
      <w:r w:rsidRPr="005B2A57">
        <w:rPr>
          <w:rFonts w:ascii="Times New Roman" w:hAnsi="Times New Roman" w:cs="Times New Roman"/>
          <w:i/>
          <w:iCs/>
          <w:sz w:val="24"/>
          <w:szCs w:val="24"/>
          <w:lang w:val="en-US"/>
        </w:rPr>
        <w:t>.</w:t>
      </w:r>
    </w:p>
    <w:p w14:paraId="3F8E4279" w14:textId="77777777" w:rsidR="00036587" w:rsidRPr="005B2A57" w:rsidRDefault="00036587" w:rsidP="00A50A74">
      <w:pPr>
        <w:spacing w:after="0" w:line="480" w:lineRule="auto"/>
        <w:rPr>
          <w:rFonts w:ascii="Times New Roman" w:hAnsi="Times New Roman" w:cs="Times New Roman"/>
          <w:sz w:val="24"/>
          <w:szCs w:val="24"/>
          <w:highlight w:val="yellow"/>
          <w:lang w:val="en-US"/>
        </w:rPr>
      </w:pPr>
    </w:p>
    <w:p w14:paraId="4F98FB1E" w14:textId="77777777" w:rsidR="00036587" w:rsidRPr="005B2A57" w:rsidRDefault="00C50426" w:rsidP="00A50A74">
      <w:pPr>
        <w:spacing w:after="0" w:line="480" w:lineRule="auto"/>
        <w:rPr>
          <w:rFonts w:ascii="Times New Roman" w:hAnsi="Times New Roman" w:cs="Times New Roman"/>
          <w:b/>
          <w:sz w:val="24"/>
          <w:szCs w:val="24"/>
          <w:lang w:val="en-US"/>
        </w:rPr>
      </w:pPr>
      <w:r w:rsidRPr="005B2A57">
        <w:rPr>
          <w:rFonts w:ascii="Times New Roman" w:hAnsi="Times New Roman" w:cs="Times New Roman"/>
          <w:sz w:val="24"/>
          <w:szCs w:val="24"/>
          <w:highlight w:val="white"/>
          <w:lang w:val="en-US"/>
        </w:rPr>
        <w:t>Finally, the r</w:t>
      </w:r>
      <w:r w:rsidRPr="005B2A57">
        <w:rPr>
          <w:rFonts w:ascii="Times New Roman" w:hAnsi="Times New Roman" w:cs="Times New Roman"/>
          <w:sz w:val="24"/>
          <w:szCs w:val="24"/>
          <w:highlight w:val="white"/>
          <w:lang w:val="en-US"/>
        </w:rPr>
        <w:t xml:space="preserve">emaining small group of two pre-events in Figure 1, marked in brown and blue, </w:t>
      </w:r>
      <w:r w:rsidRPr="005B2A57">
        <w:rPr>
          <w:rFonts w:ascii="Times New Roman" w:hAnsi="Times New Roman" w:cs="Times New Roman"/>
          <w:sz w:val="24"/>
          <w:szCs w:val="24"/>
          <w:lang w:val="en-US"/>
        </w:rPr>
        <w:t xml:space="preserve">allow for planned interactions with partners and stakeholders in order to create content </w:t>
      </w:r>
      <w:r w:rsidRPr="005B2A57">
        <w:rPr>
          <w:rFonts w:ascii="Times New Roman" w:hAnsi="Times New Roman" w:cs="Times New Roman"/>
          <w:sz w:val="24"/>
          <w:szCs w:val="24"/>
          <w:highlight w:val="white"/>
          <w:lang w:val="en-US"/>
        </w:rPr>
        <w:t>for the main event. For example, in the case of the Italian Pavilion in Figure 4, student</w:t>
      </w:r>
      <w:r w:rsidRPr="005B2A57">
        <w:rPr>
          <w:rFonts w:ascii="Times New Roman" w:hAnsi="Times New Roman" w:cs="Times New Roman"/>
          <w:sz w:val="24"/>
          <w:szCs w:val="24"/>
          <w:highlight w:val="white"/>
          <w:lang w:val="en-US"/>
        </w:rPr>
        <w:t>s pitch their ideas and solutions in response to specific challenges such as  “education after the pandemic”. Then, a panel of experts select the finalists who showcase their ideas in the Italian Pavilion during the main event. An interesting characteristi</w:t>
      </w:r>
      <w:r w:rsidRPr="005B2A57">
        <w:rPr>
          <w:rFonts w:ascii="Times New Roman" w:hAnsi="Times New Roman" w:cs="Times New Roman"/>
          <w:sz w:val="24"/>
          <w:szCs w:val="24"/>
          <w:highlight w:val="white"/>
          <w:lang w:val="en-US"/>
        </w:rPr>
        <w:t>c of these pre-events is that they are not made available to publics. However, finalist projects and ideas are then showcased in the pavilion during the Expo.</w:t>
      </w:r>
      <w:r w:rsidRPr="005B2A57">
        <w:rPr>
          <w:rFonts w:ascii="Times New Roman" w:hAnsi="Times New Roman" w:cs="Times New Roman"/>
          <w:sz w:val="24"/>
          <w:szCs w:val="24"/>
          <w:lang w:val="en-US"/>
        </w:rPr>
        <w:t xml:space="preserve"> Thus, </w:t>
      </w:r>
      <w:r w:rsidRPr="005B2A57">
        <w:rPr>
          <w:rFonts w:ascii="Times New Roman" w:hAnsi="Times New Roman" w:cs="Times New Roman"/>
          <w:sz w:val="24"/>
          <w:szCs w:val="24"/>
          <w:highlight w:val="white"/>
          <w:lang w:val="en-US"/>
        </w:rPr>
        <w:t>while these events provide opportunities for participation and dialogue between students an</w:t>
      </w:r>
      <w:r w:rsidRPr="005B2A57">
        <w:rPr>
          <w:rFonts w:ascii="Times New Roman" w:hAnsi="Times New Roman" w:cs="Times New Roman"/>
          <w:sz w:val="24"/>
          <w:szCs w:val="24"/>
          <w:highlight w:val="white"/>
          <w:lang w:val="en-US"/>
        </w:rPr>
        <w:t xml:space="preserve">d experts, the pre-events take place largely </w:t>
      </w:r>
      <w:r w:rsidRPr="005B2A57">
        <w:rPr>
          <w:rFonts w:ascii="Times New Roman" w:hAnsi="Times New Roman" w:cs="Times New Roman"/>
          <w:sz w:val="24"/>
          <w:szCs w:val="24"/>
          <w:highlight w:val="white"/>
          <w:lang w:val="en-US"/>
        </w:rPr>
        <w:lastRenderedPageBreak/>
        <w:t xml:space="preserve">behind closed doors. This seems to suggest that the primary goal of these pre-events is to produce content and ideas that can be showcased in the pavilion during the main event. </w:t>
      </w:r>
    </w:p>
    <w:p w14:paraId="3AE67B9A" w14:textId="77777777" w:rsidR="00036587" w:rsidRPr="005B2A57" w:rsidRDefault="00C50426" w:rsidP="00A50A74">
      <w:pPr>
        <w:spacing w:after="0" w:line="480" w:lineRule="auto"/>
        <w:rPr>
          <w:rFonts w:ascii="Times New Roman" w:hAnsi="Times New Roman" w:cs="Times New Roman"/>
          <w:b/>
          <w:sz w:val="24"/>
          <w:szCs w:val="24"/>
          <w:lang w:val="en-US"/>
        </w:rPr>
      </w:pPr>
      <w:r w:rsidRPr="005B2A57">
        <w:rPr>
          <w:rFonts w:ascii="Times New Roman" w:hAnsi="Times New Roman" w:cs="Times New Roman"/>
          <w:b/>
          <w:noProof/>
          <w:sz w:val="24"/>
          <w:szCs w:val="24"/>
          <w:lang w:val="en-US"/>
        </w:rPr>
        <w:drawing>
          <wp:inline distT="114300" distB="114300" distL="114300" distR="114300" wp14:anchorId="7502A08B" wp14:editId="00D5F6BA">
            <wp:extent cx="5731200" cy="36449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731200" cy="3644900"/>
                    </a:xfrm>
                    <a:prstGeom prst="rect">
                      <a:avLst/>
                    </a:prstGeom>
                    <a:ln/>
                  </pic:spPr>
                </pic:pic>
              </a:graphicData>
            </a:graphic>
          </wp:inline>
        </w:drawing>
      </w:r>
    </w:p>
    <w:p w14:paraId="37208449" w14:textId="164F5C8D" w:rsidR="00036587" w:rsidRPr="005B2A57" w:rsidRDefault="00A50A74" w:rsidP="00A50A74">
      <w:pPr>
        <w:spacing w:after="0" w:line="240" w:lineRule="auto"/>
        <w:rPr>
          <w:rFonts w:ascii="Times New Roman" w:hAnsi="Times New Roman" w:cs="Times New Roman"/>
          <w:i/>
          <w:iCs/>
          <w:sz w:val="24"/>
          <w:szCs w:val="24"/>
          <w:lang w:val="en-US"/>
        </w:rPr>
      </w:pPr>
      <w:r w:rsidRPr="005B2A57">
        <w:rPr>
          <w:rFonts w:ascii="Times New Roman" w:hAnsi="Times New Roman" w:cs="Times New Roman"/>
          <w:i/>
          <w:iCs/>
          <w:sz w:val="24"/>
          <w:szCs w:val="24"/>
          <w:lang w:val="en-US"/>
        </w:rPr>
        <w:t>Figure</w:t>
      </w:r>
      <w:r w:rsidR="00C50426" w:rsidRPr="005B2A57">
        <w:rPr>
          <w:rFonts w:ascii="Times New Roman" w:hAnsi="Times New Roman" w:cs="Times New Roman"/>
          <w:i/>
          <w:iCs/>
          <w:sz w:val="24"/>
          <w:szCs w:val="24"/>
          <w:lang w:val="en-US"/>
        </w:rPr>
        <w:t xml:space="preserve"> 4: a screenshot of the</w:t>
      </w:r>
      <w:r w:rsidR="00C50426" w:rsidRPr="005B2A57">
        <w:rPr>
          <w:rFonts w:ascii="Times New Roman" w:hAnsi="Times New Roman" w:cs="Times New Roman"/>
          <w:i/>
          <w:iCs/>
          <w:sz w:val="24"/>
          <w:szCs w:val="24"/>
          <w:lang w:val="en-US"/>
        </w:rPr>
        <w:t xml:space="preserve"> promotional video the finals of the “Future Education #DigitalChallenge” - Italian Pavilion Team.</w:t>
      </w:r>
    </w:p>
    <w:p w14:paraId="757FA6FA" w14:textId="77777777" w:rsidR="00036587" w:rsidRPr="005B2A57" w:rsidRDefault="00036587" w:rsidP="00A50A74">
      <w:pPr>
        <w:spacing w:after="0" w:line="480" w:lineRule="auto"/>
        <w:rPr>
          <w:rFonts w:ascii="Times New Roman" w:hAnsi="Times New Roman" w:cs="Times New Roman"/>
          <w:sz w:val="24"/>
          <w:szCs w:val="24"/>
          <w:lang w:val="en-US"/>
        </w:rPr>
      </w:pPr>
    </w:p>
    <w:p w14:paraId="67DABD6E" w14:textId="4DA205D8" w:rsidR="00A50A74" w:rsidRPr="005B2A57" w:rsidRDefault="00A50A74" w:rsidP="00A50A74">
      <w:pPr>
        <w:spacing w:after="0" w:line="480" w:lineRule="auto"/>
        <w:rPr>
          <w:rFonts w:ascii="Times New Roman" w:hAnsi="Times New Roman" w:cs="Times New Roman"/>
          <w:b/>
          <w:sz w:val="24"/>
          <w:szCs w:val="24"/>
          <w:lang w:val="en-US"/>
        </w:rPr>
      </w:pPr>
    </w:p>
    <w:p w14:paraId="537DE15F" w14:textId="7A534714" w:rsidR="00036587" w:rsidRPr="005B2A57" w:rsidRDefault="00C50426" w:rsidP="00A50A74">
      <w:pPr>
        <w:spacing w:after="0" w:line="480" w:lineRule="auto"/>
        <w:rPr>
          <w:rFonts w:ascii="Times New Roman" w:hAnsi="Times New Roman" w:cs="Times New Roman"/>
          <w:b/>
          <w:sz w:val="24"/>
          <w:szCs w:val="24"/>
          <w:lang w:val="en-US"/>
        </w:rPr>
      </w:pPr>
      <w:r w:rsidRPr="005B2A57">
        <w:rPr>
          <w:rFonts w:ascii="Times New Roman" w:hAnsi="Times New Roman" w:cs="Times New Roman"/>
          <w:b/>
          <w:sz w:val="24"/>
          <w:szCs w:val="24"/>
          <w:lang w:val="en-US"/>
        </w:rPr>
        <w:t>Discussion</w:t>
      </w:r>
    </w:p>
    <w:p w14:paraId="1F3BD3E1" w14:textId="16F0809C"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A range of insights emerges from the analysis of the digital pre-events held before the 2021-22 EXPO; these insights shed light on digital pre-e</w:t>
      </w:r>
      <w:r w:rsidRPr="005B2A57">
        <w:rPr>
          <w:rFonts w:ascii="Times New Roman" w:hAnsi="Times New Roman" w:cs="Times New Roman"/>
          <w:sz w:val="24"/>
          <w:szCs w:val="24"/>
          <w:lang w:val="en-US"/>
        </w:rPr>
        <w:t>vents more broadly. The analysis shows that these events are vital spaces for generating engagement in the lead-up to the main event. This highlights the fact that the ‘lead-time’ – the length of time between the initiation of the planning process for an e</w:t>
      </w:r>
      <w:r w:rsidRPr="005B2A57">
        <w:rPr>
          <w:rFonts w:ascii="Times New Roman" w:hAnsi="Times New Roman" w:cs="Times New Roman"/>
          <w:sz w:val="24"/>
          <w:szCs w:val="24"/>
          <w:lang w:val="en-US"/>
        </w:rPr>
        <w:t>vent and the date on which it is actually held (Davidson, 2019) – is now more important than ever in engaging publics as deeply as possible, and that auxiliary events (Goldblatt &amp; Lee, 2020) have also become more and more important to event-planners and organizations</w:t>
      </w:r>
      <w:r w:rsidRPr="005B2A57">
        <w:rPr>
          <w:rFonts w:ascii="Times New Roman" w:hAnsi="Times New Roman" w:cs="Times New Roman"/>
          <w:sz w:val="24"/>
          <w:szCs w:val="24"/>
          <w:lang w:val="en-US"/>
        </w:rPr>
        <w:t xml:space="preserve"> in communicating in diverse, rich ways with target publics in particular </w:t>
      </w:r>
      <w:r w:rsidRPr="005B2A57">
        <w:rPr>
          <w:rFonts w:ascii="Times New Roman" w:hAnsi="Times New Roman" w:cs="Times New Roman"/>
          <w:sz w:val="24"/>
          <w:szCs w:val="24"/>
          <w:lang w:val="en-US"/>
        </w:rPr>
        <w:lastRenderedPageBreak/>
        <w:t xml:space="preserve">parts of the world. Given the ongoing challenges created by the COVID-19 pandemic in various parts of the world – challenges that are likely to persist for some time yet, </w:t>
      </w:r>
      <w:r w:rsidRPr="005B2A57">
        <w:rPr>
          <w:rFonts w:ascii="Times New Roman" w:hAnsi="Times New Roman" w:cs="Times New Roman"/>
          <w:sz w:val="24"/>
          <w:szCs w:val="24"/>
          <w:lang w:val="en-US"/>
        </w:rPr>
        <w:t>sadly – the use of varied ways of engaging individuals and groups around the world becomes yet more important.</w:t>
      </w:r>
    </w:p>
    <w:p w14:paraId="553C1476" w14:textId="77777777" w:rsidR="00036587" w:rsidRPr="005B2A57" w:rsidRDefault="00036587" w:rsidP="00A50A74">
      <w:pPr>
        <w:spacing w:after="0" w:line="480" w:lineRule="auto"/>
        <w:rPr>
          <w:rFonts w:ascii="Times New Roman" w:hAnsi="Times New Roman" w:cs="Times New Roman"/>
          <w:sz w:val="24"/>
          <w:szCs w:val="24"/>
          <w:lang w:val="en-US"/>
        </w:rPr>
      </w:pPr>
    </w:p>
    <w:p w14:paraId="7CE9D5C5" w14:textId="65C4AD18"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As the analysis also showed, the use of varied, creative approaches for communicating with stakeholders maximized</w:t>
      </w:r>
      <w:r w:rsidRPr="005B2A57">
        <w:rPr>
          <w:rFonts w:ascii="Times New Roman" w:hAnsi="Times New Roman" w:cs="Times New Roman"/>
          <w:sz w:val="24"/>
          <w:szCs w:val="24"/>
          <w:lang w:val="en-US"/>
        </w:rPr>
        <w:t xml:space="preserve"> the effectiveness of the digit</w:t>
      </w:r>
      <w:r w:rsidRPr="005B2A57">
        <w:rPr>
          <w:rFonts w:ascii="Times New Roman" w:hAnsi="Times New Roman" w:cs="Times New Roman"/>
          <w:sz w:val="24"/>
          <w:szCs w:val="24"/>
          <w:lang w:val="en-US"/>
        </w:rPr>
        <w:t>al pre-events, and would be significantly important for other digital pre-events, as well. An event’s capacity to help stakeholders, and wider publics, engage in novelty-seeking is only of the key aspects of the attractiveness of any event; other aspects i</w:t>
      </w:r>
      <w:r w:rsidRPr="005B2A57">
        <w:rPr>
          <w:rFonts w:ascii="Times New Roman" w:hAnsi="Times New Roman" w:cs="Times New Roman"/>
          <w:sz w:val="24"/>
          <w:szCs w:val="24"/>
          <w:lang w:val="en-US"/>
        </w:rPr>
        <w:t>nclude the loyalty of participants and other ‘pull factors’ that entice individuals and groups (Getz, 2020). As event-goers increasingly seek novel experiences, creativity in programming diverse pre-events will help to distinguish these events from each ot</w:t>
      </w:r>
      <w:r w:rsidRPr="005B2A57">
        <w:rPr>
          <w:rFonts w:ascii="Times New Roman" w:hAnsi="Times New Roman" w:cs="Times New Roman"/>
          <w:sz w:val="24"/>
          <w:szCs w:val="24"/>
          <w:lang w:val="en-US"/>
        </w:rPr>
        <w:t xml:space="preserve">her and attract participants. However, this sort of inventive programming exacerbates the predisposition, at best, and fixation, at worst, of today’s ‘entertainment subjects’ (Samuels, 2021), who are relentlessly seeking increasingly engaging, novel forms </w:t>
      </w:r>
      <w:r w:rsidRPr="005B2A57">
        <w:rPr>
          <w:rFonts w:ascii="Times New Roman" w:hAnsi="Times New Roman" w:cs="Times New Roman"/>
          <w:sz w:val="24"/>
          <w:szCs w:val="24"/>
          <w:lang w:val="en-US"/>
        </w:rPr>
        <w:t>of entertainment.</w:t>
      </w:r>
    </w:p>
    <w:p w14:paraId="31BADDC7" w14:textId="77777777" w:rsidR="00036587" w:rsidRPr="005B2A57" w:rsidRDefault="00036587" w:rsidP="00A50A74">
      <w:pPr>
        <w:spacing w:after="0" w:line="480" w:lineRule="auto"/>
        <w:rPr>
          <w:rFonts w:ascii="Times New Roman" w:hAnsi="Times New Roman" w:cs="Times New Roman"/>
          <w:sz w:val="24"/>
          <w:szCs w:val="24"/>
          <w:lang w:val="en-US"/>
        </w:rPr>
      </w:pPr>
    </w:p>
    <w:p w14:paraId="68DAF4D5" w14:textId="08DBDAD7"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The analysis also brought to the fore other noteworthy aspects of digital pre-events. These occasions can be (and are) organized</w:t>
      </w:r>
      <w:r w:rsidRPr="005B2A57">
        <w:rPr>
          <w:rFonts w:ascii="Times New Roman" w:hAnsi="Times New Roman" w:cs="Times New Roman"/>
          <w:sz w:val="24"/>
          <w:szCs w:val="24"/>
          <w:lang w:val="en-US"/>
        </w:rPr>
        <w:t xml:space="preserve"> individually or in clusters; the choice of event type aligns with organizers’</w:t>
      </w:r>
      <w:r w:rsidRPr="005B2A57">
        <w:rPr>
          <w:rFonts w:ascii="Times New Roman" w:hAnsi="Times New Roman" w:cs="Times New Roman"/>
          <w:sz w:val="24"/>
          <w:szCs w:val="24"/>
          <w:lang w:val="en-US"/>
        </w:rPr>
        <w:t xml:space="preserve"> (and organizations’</w:t>
      </w:r>
      <w:r w:rsidRPr="005B2A57">
        <w:rPr>
          <w:rFonts w:ascii="Times New Roman" w:hAnsi="Times New Roman" w:cs="Times New Roman"/>
          <w:sz w:val="24"/>
          <w:szCs w:val="24"/>
          <w:lang w:val="en-US"/>
        </w:rPr>
        <w:t>) strategic intentions for the</w:t>
      </w:r>
      <w:r w:rsidRPr="005B2A57">
        <w:rPr>
          <w:rFonts w:ascii="Times New Roman" w:hAnsi="Times New Roman" w:cs="Times New Roman"/>
          <w:sz w:val="24"/>
          <w:szCs w:val="24"/>
          <w:lang w:val="en-US"/>
        </w:rPr>
        <w:t xml:space="preserve"> events and other communication approaches. The events are also most effective when they have specific functions (such as logistical functions) and target specific small-scale audience (like particular stakeholders, or publics with particular backgrounds).</w:t>
      </w:r>
      <w:r w:rsidRPr="005B2A57">
        <w:rPr>
          <w:rFonts w:ascii="Times New Roman" w:hAnsi="Times New Roman" w:cs="Times New Roman"/>
          <w:sz w:val="24"/>
          <w:szCs w:val="24"/>
          <w:lang w:val="en-US"/>
        </w:rPr>
        <w:t xml:space="preserve"> They also tend to be most successful – as with all planned events – when they feature dedicated infrastructure (as in the case of Finland’s pre-event, for example, and its page for its Forum), with the infrastructure stretching through multiple a range of</w:t>
      </w:r>
      <w:r w:rsidRPr="005B2A57">
        <w:rPr>
          <w:rFonts w:ascii="Times New Roman" w:hAnsi="Times New Roman" w:cs="Times New Roman"/>
          <w:sz w:val="24"/>
          <w:szCs w:val="24"/>
          <w:lang w:val="en-US"/>
        </w:rPr>
        <w:t xml:space="preserve"> different media types: web-pages, embedded videos, </w:t>
      </w:r>
      <w:r w:rsidRPr="005B2A57">
        <w:rPr>
          <w:rFonts w:ascii="Times New Roman" w:hAnsi="Times New Roman" w:cs="Times New Roman"/>
          <w:sz w:val="24"/>
          <w:szCs w:val="24"/>
          <w:lang w:val="en-US"/>
        </w:rPr>
        <w:lastRenderedPageBreak/>
        <w:t>freely available downloadable materials, and the like. At the same time, as the analysis also found, a simple element often lacking in many pre-events is the need for those events to engage individuals an</w:t>
      </w:r>
      <w:r w:rsidRPr="005B2A57">
        <w:rPr>
          <w:rFonts w:ascii="Times New Roman" w:hAnsi="Times New Roman" w:cs="Times New Roman"/>
          <w:sz w:val="24"/>
          <w:szCs w:val="24"/>
          <w:lang w:val="en-US"/>
        </w:rPr>
        <w:t>d groups; this aspect of the events is in line with digital media communication more broadly, requiring dialogue and interactivity rather than the unidirectional transmission of content (Kim, 2019).</w:t>
      </w:r>
    </w:p>
    <w:p w14:paraId="32EF6B8B" w14:textId="77777777" w:rsidR="00036587" w:rsidRPr="005B2A57" w:rsidRDefault="00036587" w:rsidP="00A50A74">
      <w:pPr>
        <w:spacing w:after="0" w:line="480" w:lineRule="auto"/>
        <w:rPr>
          <w:rFonts w:ascii="Times New Roman" w:hAnsi="Times New Roman" w:cs="Times New Roman"/>
          <w:sz w:val="24"/>
          <w:szCs w:val="24"/>
          <w:lang w:val="en-US"/>
        </w:rPr>
      </w:pPr>
    </w:p>
    <w:p w14:paraId="25FD7702" w14:textId="77777777" w:rsidR="00036587" w:rsidRPr="005B2A57" w:rsidRDefault="00036587" w:rsidP="00A50A74">
      <w:pPr>
        <w:spacing w:after="0" w:line="480" w:lineRule="auto"/>
        <w:rPr>
          <w:rFonts w:ascii="Times New Roman" w:hAnsi="Times New Roman" w:cs="Times New Roman"/>
          <w:sz w:val="24"/>
          <w:szCs w:val="24"/>
          <w:lang w:val="en-US"/>
        </w:rPr>
      </w:pPr>
    </w:p>
    <w:p w14:paraId="1E73BFFB" w14:textId="5BC703FD" w:rsidR="00036587" w:rsidRPr="005B2A57" w:rsidRDefault="00C50426" w:rsidP="00A50A74">
      <w:pPr>
        <w:spacing w:after="0" w:line="480" w:lineRule="auto"/>
        <w:rPr>
          <w:rFonts w:ascii="Times New Roman" w:hAnsi="Times New Roman" w:cs="Times New Roman"/>
          <w:b/>
          <w:sz w:val="24"/>
          <w:szCs w:val="24"/>
          <w:lang w:val="en-US"/>
        </w:rPr>
      </w:pPr>
      <w:r w:rsidRPr="005B2A57">
        <w:rPr>
          <w:rFonts w:ascii="Times New Roman" w:hAnsi="Times New Roman" w:cs="Times New Roman"/>
          <w:b/>
          <w:sz w:val="24"/>
          <w:szCs w:val="24"/>
          <w:lang w:val="en-US"/>
        </w:rPr>
        <w:t>Conclusion</w:t>
      </w:r>
    </w:p>
    <w:p w14:paraId="5998D1DB" w14:textId="77777777"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Digital pre-events will only continue to gr</w:t>
      </w:r>
      <w:r w:rsidRPr="005B2A57">
        <w:rPr>
          <w:rFonts w:ascii="Times New Roman" w:hAnsi="Times New Roman" w:cs="Times New Roman"/>
          <w:sz w:val="24"/>
          <w:szCs w:val="24"/>
          <w:lang w:val="en-US"/>
        </w:rPr>
        <w:t>ow in number over the coming years as the world recovers from the COVID-19 pandemic and the use of digital communication tools gains even wider, daily acceptance. This paper has argued that, as an emerging and growing phenomenon, pre-events create spaces f</w:t>
      </w:r>
      <w:r w:rsidRPr="005B2A57">
        <w:rPr>
          <w:rFonts w:ascii="Times New Roman" w:hAnsi="Times New Roman" w:cs="Times New Roman"/>
          <w:sz w:val="24"/>
          <w:szCs w:val="24"/>
          <w:lang w:val="en-US"/>
        </w:rPr>
        <w:t>or experimenting and re-engineering new communication approaches. It has developed a novel typology of pre-events based on format, function, audiences and interactivity; this typology, drawing on findings related to the 2021-22 EXPO, would be applicable to</w:t>
      </w:r>
      <w:r w:rsidRPr="005B2A57">
        <w:rPr>
          <w:rFonts w:ascii="Times New Roman" w:hAnsi="Times New Roman" w:cs="Times New Roman"/>
          <w:sz w:val="24"/>
          <w:szCs w:val="24"/>
          <w:lang w:val="en-US"/>
        </w:rPr>
        <w:t xml:space="preserve"> many other pre-events. Our analysis has also shown that the main roles of pre-events are to engage with stakeholders, create and re-present event narratives, and plan the main event. However, despite the possibility provided by digital platforms and the g</w:t>
      </w:r>
      <w:r w:rsidRPr="005B2A57">
        <w:rPr>
          <w:rFonts w:ascii="Times New Roman" w:hAnsi="Times New Roman" w:cs="Times New Roman"/>
          <w:sz w:val="24"/>
          <w:szCs w:val="24"/>
          <w:lang w:val="en-US"/>
        </w:rPr>
        <w:t>rowing acceptance by publics of online formats such as webinars and online forums, pre-events usually lack interactivity, even when the aim is to engage publics.</w:t>
      </w:r>
    </w:p>
    <w:p w14:paraId="56B797F2" w14:textId="77777777" w:rsidR="00036587" w:rsidRPr="005B2A57" w:rsidRDefault="00036587" w:rsidP="00A50A74">
      <w:pPr>
        <w:spacing w:after="0" w:line="480" w:lineRule="auto"/>
        <w:rPr>
          <w:rFonts w:ascii="Times New Roman" w:hAnsi="Times New Roman" w:cs="Times New Roman"/>
          <w:sz w:val="24"/>
          <w:szCs w:val="24"/>
          <w:lang w:val="en-US"/>
        </w:rPr>
      </w:pPr>
    </w:p>
    <w:p w14:paraId="5C4D1380" w14:textId="50183B4E"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The examples explored in this paper indicate that online pre-events are still mostly rudiment</w:t>
      </w:r>
      <w:r w:rsidRPr="005B2A57">
        <w:rPr>
          <w:rFonts w:ascii="Times New Roman" w:hAnsi="Times New Roman" w:cs="Times New Roman"/>
          <w:sz w:val="24"/>
          <w:szCs w:val="24"/>
          <w:lang w:val="en-US"/>
        </w:rPr>
        <w:t>al and experimental as organizers</w:t>
      </w:r>
      <w:r w:rsidRPr="005B2A57">
        <w:rPr>
          <w:rFonts w:ascii="Times New Roman" w:hAnsi="Times New Roman" w:cs="Times New Roman"/>
          <w:sz w:val="24"/>
          <w:szCs w:val="24"/>
          <w:lang w:val="en-US"/>
        </w:rPr>
        <w:t xml:space="preserve"> struggle to clearly define their function and target audience. Nevertheless, the pandemic and the postponement of EXPO have provided nations’ communication teams with an opportunity to experiment a new canon of online even</w:t>
      </w:r>
      <w:r w:rsidRPr="005B2A57">
        <w:rPr>
          <w:rFonts w:ascii="Times New Roman" w:hAnsi="Times New Roman" w:cs="Times New Roman"/>
          <w:sz w:val="24"/>
          <w:szCs w:val="24"/>
          <w:lang w:val="en-US"/>
        </w:rPr>
        <w:t>ts which may become more systematic and codified</w:t>
      </w:r>
      <w:r w:rsidRPr="005B2A57">
        <w:rPr>
          <w:rFonts w:ascii="Times New Roman" w:hAnsi="Times New Roman" w:cs="Times New Roman"/>
          <w:sz w:val="24"/>
          <w:szCs w:val="24"/>
          <w:lang w:val="en-US"/>
        </w:rPr>
        <w:t xml:space="preserve"> in the next edition of EXPO.</w:t>
      </w:r>
    </w:p>
    <w:p w14:paraId="13F2079E" w14:textId="77777777" w:rsidR="00036587" w:rsidRPr="005B2A57" w:rsidRDefault="00036587" w:rsidP="00A50A74">
      <w:pPr>
        <w:spacing w:after="0" w:line="480" w:lineRule="auto"/>
        <w:rPr>
          <w:rFonts w:ascii="Times New Roman" w:hAnsi="Times New Roman" w:cs="Times New Roman"/>
          <w:sz w:val="24"/>
          <w:szCs w:val="24"/>
          <w:lang w:val="en-US"/>
        </w:rPr>
      </w:pPr>
    </w:p>
    <w:p w14:paraId="471B0460" w14:textId="66679E7A"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The research opens a number of avenues for further investigations related to pre-events. This paper has used just the one case study to understand the configurations of these ev</w:t>
      </w:r>
      <w:r w:rsidRPr="005B2A57">
        <w:rPr>
          <w:rFonts w:ascii="Times New Roman" w:hAnsi="Times New Roman" w:cs="Times New Roman"/>
          <w:sz w:val="24"/>
          <w:szCs w:val="24"/>
          <w:lang w:val="en-US"/>
        </w:rPr>
        <w:t>ents; other analyses could draw on different cases to gain deeper insights into pre-events and their configurations. The EXPO, as a case, has its own features; for example, it is a large-scale event with sub-events that feature social actors from various c</w:t>
      </w:r>
      <w:r w:rsidRPr="005B2A57">
        <w:rPr>
          <w:rFonts w:ascii="Times New Roman" w:hAnsi="Times New Roman" w:cs="Times New Roman"/>
          <w:sz w:val="24"/>
          <w:szCs w:val="24"/>
          <w:lang w:val="en-US"/>
        </w:rPr>
        <w:t>ountries. The analysis of a smaller, more contained case would likely yield different understandings of pre-events. Also, this paper has only required the use of conventional qualitative content analysis as its method; the use of different methods – such a</w:t>
      </w:r>
      <w:r w:rsidRPr="005B2A57">
        <w:rPr>
          <w:rFonts w:ascii="Times New Roman" w:hAnsi="Times New Roman" w:cs="Times New Roman"/>
          <w:sz w:val="24"/>
          <w:szCs w:val="24"/>
          <w:lang w:val="en-US"/>
        </w:rPr>
        <w:t>s textual analysis focusing on understanding meaning-making – would yield richer insights into pre-events, and especially the digital versions of these events. Interviews or focus groups with event organizers</w:t>
      </w:r>
      <w:r w:rsidRPr="005B2A57">
        <w:rPr>
          <w:rFonts w:ascii="Times New Roman" w:hAnsi="Times New Roman" w:cs="Times New Roman"/>
          <w:sz w:val="24"/>
          <w:szCs w:val="24"/>
          <w:lang w:val="en-US"/>
        </w:rPr>
        <w:t xml:space="preserve"> could also be undertaken to understand the moti</w:t>
      </w:r>
      <w:r w:rsidRPr="005B2A57">
        <w:rPr>
          <w:rFonts w:ascii="Times New Roman" w:hAnsi="Times New Roman" w:cs="Times New Roman"/>
          <w:sz w:val="24"/>
          <w:szCs w:val="24"/>
          <w:lang w:val="en-US"/>
        </w:rPr>
        <w:t>vations of these individuals, the tools and techniques that they use, as well as the successes and failures that they have encountered, in planning and running the events.</w:t>
      </w:r>
    </w:p>
    <w:p w14:paraId="7283B7C1" w14:textId="77777777" w:rsidR="00036587" w:rsidRPr="005B2A57" w:rsidRDefault="00036587">
      <w:pPr>
        <w:spacing w:after="0" w:line="240" w:lineRule="auto"/>
        <w:rPr>
          <w:rFonts w:ascii="Times New Roman" w:hAnsi="Times New Roman" w:cs="Times New Roman"/>
          <w:sz w:val="24"/>
          <w:szCs w:val="24"/>
          <w:lang w:val="en-US"/>
        </w:rPr>
      </w:pPr>
    </w:p>
    <w:p w14:paraId="422D61FF" w14:textId="77777777" w:rsidR="00036587" w:rsidRPr="005B2A57" w:rsidRDefault="00036587">
      <w:pPr>
        <w:spacing w:after="0" w:line="240" w:lineRule="auto"/>
        <w:rPr>
          <w:rFonts w:ascii="Times New Roman" w:hAnsi="Times New Roman" w:cs="Times New Roman"/>
          <w:sz w:val="24"/>
          <w:szCs w:val="24"/>
          <w:lang w:val="en-US"/>
        </w:rPr>
      </w:pPr>
    </w:p>
    <w:p w14:paraId="65A91A3C" w14:textId="7CF0D68D" w:rsidR="00036587" w:rsidRPr="005B2A57" w:rsidRDefault="00C50426" w:rsidP="00A50A74">
      <w:pPr>
        <w:spacing w:after="0" w:line="480" w:lineRule="auto"/>
        <w:rPr>
          <w:rFonts w:ascii="Times New Roman" w:hAnsi="Times New Roman" w:cs="Times New Roman"/>
          <w:b/>
          <w:sz w:val="24"/>
          <w:szCs w:val="24"/>
          <w:lang w:val="en-US"/>
        </w:rPr>
      </w:pPr>
      <w:r w:rsidRPr="005B2A57">
        <w:rPr>
          <w:rFonts w:ascii="Times New Roman" w:hAnsi="Times New Roman" w:cs="Times New Roman"/>
          <w:b/>
          <w:sz w:val="24"/>
          <w:szCs w:val="24"/>
          <w:lang w:val="en-US"/>
        </w:rPr>
        <w:t>References</w:t>
      </w:r>
    </w:p>
    <w:p w14:paraId="236049CA" w14:textId="77777777"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color w:val="222222"/>
          <w:sz w:val="24"/>
          <w:szCs w:val="24"/>
          <w:highlight w:val="white"/>
          <w:lang w:val="en-US"/>
        </w:rPr>
        <w:t>Alexander, N. (2017). Speed watching, efficiency, and the new temporal</w:t>
      </w:r>
      <w:r w:rsidRPr="005B2A57">
        <w:rPr>
          <w:rFonts w:ascii="Times New Roman" w:hAnsi="Times New Roman" w:cs="Times New Roman"/>
          <w:color w:val="222222"/>
          <w:sz w:val="24"/>
          <w:szCs w:val="24"/>
          <w:highlight w:val="white"/>
          <w:lang w:val="en-US"/>
        </w:rPr>
        <w:t xml:space="preserve">ities of digital spectatorship. </w:t>
      </w:r>
      <w:r w:rsidRPr="005B2A57">
        <w:rPr>
          <w:rFonts w:ascii="Times New Roman" w:hAnsi="Times New Roman" w:cs="Times New Roman"/>
          <w:i/>
          <w:color w:val="222222"/>
          <w:sz w:val="24"/>
          <w:szCs w:val="24"/>
          <w:highlight w:val="white"/>
          <w:lang w:val="en-US"/>
        </w:rPr>
        <w:t>Compact cinematics: The moving image in the age of bit-sized media</w:t>
      </w:r>
      <w:r w:rsidRPr="005B2A57">
        <w:rPr>
          <w:rFonts w:ascii="Times New Roman" w:hAnsi="Times New Roman" w:cs="Times New Roman"/>
          <w:color w:val="222222"/>
          <w:sz w:val="24"/>
          <w:szCs w:val="24"/>
          <w:highlight w:val="white"/>
          <w:lang w:val="en-US"/>
        </w:rPr>
        <w:t>, 103-112.</w:t>
      </w:r>
    </w:p>
    <w:p w14:paraId="3FFB83A1" w14:textId="77777777" w:rsidR="00036587" w:rsidRPr="005B2A57" w:rsidRDefault="00036587" w:rsidP="00A50A74">
      <w:pPr>
        <w:spacing w:after="0" w:line="480" w:lineRule="auto"/>
        <w:rPr>
          <w:rFonts w:ascii="Times New Roman" w:hAnsi="Times New Roman" w:cs="Times New Roman"/>
          <w:sz w:val="24"/>
          <w:szCs w:val="24"/>
          <w:lang w:val="en-US"/>
        </w:rPr>
      </w:pPr>
    </w:p>
    <w:p w14:paraId="2EF588A3" w14:textId="77777777"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BIE, n.d.-a., What is an Expo?, Bureau International des Expositions, http://www.bie-paris.org/site/en/expos/about-expos/what-is-an-expo</w:t>
      </w:r>
    </w:p>
    <w:p w14:paraId="1C87A431" w14:textId="77777777" w:rsidR="00036587" w:rsidRPr="005B2A57" w:rsidRDefault="00036587" w:rsidP="00A50A74">
      <w:pPr>
        <w:spacing w:after="0" w:line="480" w:lineRule="auto"/>
        <w:rPr>
          <w:rFonts w:ascii="Times New Roman" w:hAnsi="Times New Roman" w:cs="Times New Roman"/>
          <w:sz w:val="24"/>
          <w:szCs w:val="24"/>
          <w:lang w:val="en-US"/>
        </w:rPr>
      </w:pPr>
    </w:p>
    <w:p w14:paraId="1AB2B083" w14:textId="77777777"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BIE, n.d</w:t>
      </w:r>
      <w:r w:rsidRPr="005B2A57">
        <w:rPr>
          <w:rFonts w:ascii="Times New Roman" w:hAnsi="Times New Roman" w:cs="Times New Roman"/>
          <w:sz w:val="24"/>
          <w:szCs w:val="24"/>
          <w:lang w:val="en-US"/>
        </w:rPr>
        <w:t>.-b., EXPO 2025 OSAKA, Bureau International des Expositions, http://www.bie-paris.org/site/en/world-expo-2025</w:t>
      </w:r>
    </w:p>
    <w:p w14:paraId="542A5AB8" w14:textId="77777777" w:rsidR="00036587" w:rsidRPr="005B2A57" w:rsidRDefault="00036587" w:rsidP="00A50A74">
      <w:pPr>
        <w:spacing w:after="0" w:line="480" w:lineRule="auto"/>
        <w:rPr>
          <w:rFonts w:ascii="Times New Roman" w:hAnsi="Times New Roman" w:cs="Times New Roman"/>
          <w:sz w:val="24"/>
          <w:szCs w:val="24"/>
          <w:lang w:val="en-US"/>
        </w:rPr>
      </w:pPr>
    </w:p>
    <w:p w14:paraId="77E72978" w14:textId="77777777" w:rsidR="00036587" w:rsidRPr="005B2A57" w:rsidRDefault="00C50426" w:rsidP="00A50A74">
      <w:pPr>
        <w:spacing w:after="0" w:line="480" w:lineRule="auto"/>
        <w:rPr>
          <w:rFonts w:ascii="Times New Roman" w:hAnsi="Times New Roman" w:cs="Times New Roman"/>
          <w:sz w:val="24"/>
          <w:szCs w:val="24"/>
          <w:lang w:val="en-US"/>
        </w:rPr>
      </w:pPr>
      <w:proofErr w:type="spellStart"/>
      <w:r w:rsidRPr="005B2A57">
        <w:rPr>
          <w:rFonts w:ascii="Times New Roman" w:hAnsi="Times New Roman" w:cs="Times New Roman"/>
          <w:sz w:val="24"/>
          <w:szCs w:val="24"/>
          <w:lang w:val="en-US"/>
        </w:rPr>
        <w:lastRenderedPageBreak/>
        <w:t>Chalip</w:t>
      </w:r>
      <w:proofErr w:type="spellEnd"/>
      <w:r w:rsidRPr="005B2A57">
        <w:rPr>
          <w:rFonts w:ascii="Times New Roman" w:hAnsi="Times New Roman" w:cs="Times New Roman"/>
          <w:sz w:val="24"/>
          <w:szCs w:val="24"/>
          <w:lang w:val="en-US"/>
        </w:rPr>
        <w:t>, L. (2004). Beyond Impact: A General Model for Sport Event Leverage. In W. B. Ritchie &amp; D. Adair (Eds.), Sport Tourism, Interrelationships</w:t>
      </w:r>
      <w:r w:rsidRPr="005B2A57">
        <w:rPr>
          <w:rFonts w:ascii="Times New Roman" w:hAnsi="Times New Roman" w:cs="Times New Roman"/>
          <w:sz w:val="24"/>
          <w:szCs w:val="24"/>
          <w:lang w:val="en-US"/>
        </w:rPr>
        <w:t xml:space="preserve">, Impacts and Issues (pp. 226-252). </w:t>
      </w:r>
      <w:proofErr w:type="spellStart"/>
      <w:r w:rsidRPr="005B2A57">
        <w:rPr>
          <w:rFonts w:ascii="Times New Roman" w:hAnsi="Times New Roman" w:cs="Times New Roman"/>
          <w:sz w:val="24"/>
          <w:szCs w:val="24"/>
          <w:lang w:val="en-US"/>
        </w:rPr>
        <w:t>Clevedon</w:t>
      </w:r>
      <w:proofErr w:type="spellEnd"/>
      <w:r w:rsidRPr="005B2A57">
        <w:rPr>
          <w:rFonts w:ascii="Times New Roman" w:hAnsi="Times New Roman" w:cs="Times New Roman"/>
          <w:sz w:val="24"/>
          <w:szCs w:val="24"/>
          <w:lang w:val="en-US"/>
        </w:rPr>
        <w:t>: Channel View Publications</w:t>
      </w:r>
    </w:p>
    <w:p w14:paraId="7A2EDE9F" w14:textId="77777777" w:rsidR="00036587" w:rsidRPr="005B2A57" w:rsidRDefault="00036587" w:rsidP="00A50A74">
      <w:pPr>
        <w:spacing w:after="0" w:line="480" w:lineRule="auto"/>
        <w:rPr>
          <w:rFonts w:ascii="Times New Roman" w:hAnsi="Times New Roman" w:cs="Times New Roman"/>
          <w:sz w:val="24"/>
          <w:szCs w:val="24"/>
          <w:lang w:val="en-US"/>
        </w:rPr>
      </w:pPr>
    </w:p>
    <w:p w14:paraId="731F67AE" w14:textId="77777777" w:rsidR="00036587" w:rsidRPr="005B2A57" w:rsidRDefault="00C50426" w:rsidP="00A50A74">
      <w:pPr>
        <w:spacing w:after="0" w:line="480" w:lineRule="auto"/>
        <w:rPr>
          <w:rFonts w:ascii="Times New Roman" w:hAnsi="Times New Roman" w:cs="Times New Roman"/>
          <w:sz w:val="24"/>
          <w:szCs w:val="24"/>
          <w:lang w:val="en-US"/>
        </w:rPr>
      </w:pPr>
      <w:proofErr w:type="spellStart"/>
      <w:r w:rsidRPr="005B2A57">
        <w:rPr>
          <w:rFonts w:ascii="Times New Roman" w:hAnsi="Times New Roman" w:cs="Times New Roman"/>
          <w:sz w:val="24"/>
          <w:szCs w:val="24"/>
          <w:lang w:val="en-US"/>
        </w:rPr>
        <w:t>Couldry</w:t>
      </w:r>
      <w:proofErr w:type="spellEnd"/>
      <w:r w:rsidRPr="005B2A57">
        <w:rPr>
          <w:rFonts w:ascii="Times New Roman" w:hAnsi="Times New Roman" w:cs="Times New Roman"/>
          <w:sz w:val="24"/>
          <w:szCs w:val="24"/>
          <w:lang w:val="en-US"/>
        </w:rPr>
        <w:t xml:space="preserve">, N., &amp; </w:t>
      </w:r>
      <w:proofErr w:type="spellStart"/>
      <w:r w:rsidRPr="005B2A57">
        <w:rPr>
          <w:rFonts w:ascii="Times New Roman" w:hAnsi="Times New Roman" w:cs="Times New Roman"/>
          <w:sz w:val="24"/>
          <w:szCs w:val="24"/>
          <w:lang w:val="en-US"/>
        </w:rPr>
        <w:t>Hepp</w:t>
      </w:r>
      <w:proofErr w:type="spellEnd"/>
      <w:r w:rsidRPr="005B2A57">
        <w:rPr>
          <w:rFonts w:ascii="Times New Roman" w:hAnsi="Times New Roman" w:cs="Times New Roman"/>
          <w:sz w:val="24"/>
          <w:szCs w:val="24"/>
          <w:lang w:val="en-US"/>
        </w:rPr>
        <w:t xml:space="preserve">, A. (2018). The continuing lure of the mediated </w:t>
      </w:r>
      <w:proofErr w:type="spellStart"/>
      <w:r w:rsidRPr="005B2A57">
        <w:rPr>
          <w:rFonts w:ascii="Times New Roman" w:hAnsi="Times New Roman" w:cs="Times New Roman"/>
          <w:sz w:val="24"/>
          <w:szCs w:val="24"/>
          <w:lang w:val="en-US"/>
        </w:rPr>
        <w:t>centre</w:t>
      </w:r>
      <w:proofErr w:type="spellEnd"/>
      <w:r w:rsidRPr="005B2A57">
        <w:rPr>
          <w:rFonts w:ascii="Times New Roman" w:hAnsi="Times New Roman" w:cs="Times New Roman"/>
          <w:sz w:val="24"/>
          <w:szCs w:val="24"/>
          <w:lang w:val="en-US"/>
        </w:rPr>
        <w:t xml:space="preserve"> in times of deep mediatization: Media Events and its enduring legacy. Media, Culture &amp; Society, 40(1), 114-1</w:t>
      </w:r>
      <w:r w:rsidRPr="005B2A57">
        <w:rPr>
          <w:rFonts w:ascii="Times New Roman" w:hAnsi="Times New Roman" w:cs="Times New Roman"/>
          <w:sz w:val="24"/>
          <w:szCs w:val="24"/>
          <w:lang w:val="en-US"/>
        </w:rPr>
        <w:t>17. https://doi.org/10.1177/0163443717726009</w:t>
      </w:r>
    </w:p>
    <w:p w14:paraId="16D96A09" w14:textId="77777777" w:rsidR="00036587" w:rsidRPr="005B2A57" w:rsidRDefault="00036587" w:rsidP="00A50A74">
      <w:pPr>
        <w:spacing w:after="0" w:line="480" w:lineRule="auto"/>
        <w:rPr>
          <w:rFonts w:ascii="Times New Roman" w:hAnsi="Times New Roman" w:cs="Times New Roman"/>
          <w:sz w:val="24"/>
          <w:szCs w:val="24"/>
          <w:lang w:val="en-US"/>
        </w:rPr>
      </w:pPr>
    </w:p>
    <w:p w14:paraId="2DC59D6F" w14:textId="77777777"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 xml:space="preserve">Daft, R.L. &amp; Lengel, R.H. (1984). Information richness: a new approach to managerial behavior and organizational design. In: Cummings, L.L. &amp; </w:t>
      </w:r>
      <w:proofErr w:type="spellStart"/>
      <w:r w:rsidRPr="005B2A57">
        <w:rPr>
          <w:rFonts w:ascii="Times New Roman" w:hAnsi="Times New Roman" w:cs="Times New Roman"/>
          <w:sz w:val="24"/>
          <w:szCs w:val="24"/>
          <w:lang w:val="en-US"/>
        </w:rPr>
        <w:t>Staw</w:t>
      </w:r>
      <w:proofErr w:type="spellEnd"/>
      <w:r w:rsidRPr="005B2A57">
        <w:rPr>
          <w:rFonts w:ascii="Times New Roman" w:hAnsi="Times New Roman" w:cs="Times New Roman"/>
          <w:sz w:val="24"/>
          <w:szCs w:val="24"/>
          <w:lang w:val="en-US"/>
        </w:rPr>
        <w:t>, B.M. (Eds.), Research in organizational behavior 6, (191-233).</w:t>
      </w:r>
      <w:r w:rsidRPr="005B2A57">
        <w:rPr>
          <w:rFonts w:ascii="Times New Roman" w:hAnsi="Times New Roman" w:cs="Times New Roman"/>
          <w:sz w:val="24"/>
          <w:szCs w:val="24"/>
          <w:lang w:val="en-US"/>
        </w:rPr>
        <w:t xml:space="preserve"> Homewood, IL: JAI Press</w:t>
      </w:r>
    </w:p>
    <w:p w14:paraId="11356DB7" w14:textId="77777777" w:rsidR="00036587" w:rsidRPr="005B2A57" w:rsidRDefault="00036587" w:rsidP="00A50A74">
      <w:pPr>
        <w:spacing w:after="0" w:line="480" w:lineRule="auto"/>
        <w:rPr>
          <w:rFonts w:ascii="Times New Roman" w:hAnsi="Times New Roman" w:cs="Times New Roman"/>
          <w:sz w:val="24"/>
          <w:szCs w:val="24"/>
          <w:lang w:val="en-US"/>
        </w:rPr>
      </w:pPr>
    </w:p>
    <w:p w14:paraId="49BEB669" w14:textId="77777777"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 xml:space="preserve">Davidson, R. (2019). </w:t>
      </w:r>
      <w:r w:rsidRPr="005B2A57">
        <w:rPr>
          <w:rFonts w:ascii="Times New Roman" w:hAnsi="Times New Roman" w:cs="Times New Roman"/>
          <w:i/>
          <w:sz w:val="24"/>
          <w:szCs w:val="24"/>
          <w:lang w:val="en-US"/>
        </w:rPr>
        <w:t>Business Events</w:t>
      </w:r>
      <w:r w:rsidRPr="005B2A57">
        <w:rPr>
          <w:rFonts w:ascii="Times New Roman" w:hAnsi="Times New Roman" w:cs="Times New Roman"/>
          <w:sz w:val="24"/>
          <w:szCs w:val="24"/>
          <w:lang w:val="en-US"/>
        </w:rPr>
        <w:t>. Routledge. https://doi.org/10.4324/9781315186344</w:t>
      </w:r>
    </w:p>
    <w:p w14:paraId="3468A513" w14:textId="77777777" w:rsidR="00036587" w:rsidRPr="005B2A57" w:rsidRDefault="00036587" w:rsidP="00A50A74">
      <w:pPr>
        <w:spacing w:after="0" w:line="480" w:lineRule="auto"/>
        <w:rPr>
          <w:rFonts w:ascii="Times New Roman" w:hAnsi="Times New Roman" w:cs="Times New Roman"/>
          <w:sz w:val="24"/>
          <w:szCs w:val="24"/>
          <w:lang w:val="en-US"/>
        </w:rPr>
      </w:pPr>
    </w:p>
    <w:p w14:paraId="2D9195F5" w14:textId="77777777"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Expo 2020 Dubai (2021). Expo 2020 Dubai. https://www.expo2020dubai.com/</w:t>
      </w:r>
    </w:p>
    <w:p w14:paraId="4532997E" w14:textId="77777777" w:rsidR="00036587" w:rsidRPr="005B2A57" w:rsidRDefault="00036587" w:rsidP="00A50A74">
      <w:pPr>
        <w:spacing w:after="0" w:line="480" w:lineRule="auto"/>
        <w:rPr>
          <w:rFonts w:ascii="Times New Roman" w:hAnsi="Times New Roman" w:cs="Times New Roman"/>
          <w:sz w:val="24"/>
          <w:szCs w:val="24"/>
          <w:lang w:val="en-US"/>
        </w:rPr>
      </w:pPr>
    </w:p>
    <w:p w14:paraId="4137472C" w14:textId="77777777"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Feeley, M. (2021, November 2). Hybrid events in 2022: blending the best of live and virtual in a post-pandemic world. The Drum. https://www.thedrum.com/news/2021/11/02/hybrid-events-2022-blending-the-best-live-and-virtual-post-pandemic-world</w:t>
      </w:r>
    </w:p>
    <w:p w14:paraId="00B23902" w14:textId="77777777" w:rsidR="00036587" w:rsidRPr="005B2A57" w:rsidRDefault="00036587" w:rsidP="00A50A74">
      <w:pPr>
        <w:spacing w:after="0" w:line="480" w:lineRule="auto"/>
        <w:rPr>
          <w:rFonts w:ascii="Times New Roman" w:hAnsi="Times New Roman" w:cs="Times New Roman"/>
          <w:sz w:val="24"/>
          <w:szCs w:val="24"/>
          <w:lang w:val="en-US"/>
        </w:rPr>
      </w:pPr>
    </w:p>
    <w:p w14:paraId="5041A2EB" w14:textId="77777777"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Getz, D. (202</w:t>
      </w:r>
      <w:r w:rsidRPr="005B2A57">
        <w:rPr>
          <w:rFonts w:ascii="Times New Roman" w:hAnsi="Times New Roman" w:cs="Times New Roman"/>
          <w:sz w:val="24"/>
          <w:szCs w:val="24"/>
          <w:lang w:val="en-US"/>
        </w:rPr>
        <w:t xml:space="preserve">0). Event studies. In S. J. Page &amp; J. Connell (Eds.), </w:t>
      </w:r>
      <w:r w:rsidRPr="005B2A57">
        <w:rPr>
          <w:rFonts w:ascii="Times New Roman" w:hAnsi="Times New Roman" w:cs="Times New Roman"/>
          <w:i/>
          <w:sz w:val="24"/>
          <w:szCs w:val="24"/>
          <w:lang w:val="en-US"/>
        </w:rPr>
        <w:t>The Routledge Handbook of Events</w:t>
      </w:r>
      <w:r w:rsidRPr="005B2A57">
        <w:rPr>
          <w:rFonts w:ascii="Times New Roman" w:hAnsi="Times New Roman" w:cs="Times New Roman"/>
          <w:sz w:val="24"/>
          <w:szCs w:val="24"/>
          <w:lang w:val="en-US"/>
        </w:rPr>
        <w:t xml:space="preserve"> (2nd </w:t>
      </w:r>
      <w:proofErr w:type="spellStart"/>
      <w:r w:rsidRPr="005B2A57">
        <w:rPr>
          <w:rFonts w:ascii="Times New Roman" w:hAnsi="Times New Roman" w:cs="Times New Roman"/>
          <w:sz w:val="24"/>
          <w:szCs w:val="24"/>
          <w:lang w:val="en-US"/>
        </w:rPr>
        <w:t>edn</w:t>
      </w:r>
      <w:proofErr w:type="spellEnd"/>
      <w:r w:rsidRPr="005B2A57">
        <w:rPr>
          <w:rFonts w:ascii="Times New Roman" w:hAnsi="Times New Roman" w:cs="Times New Roman"/>
          <w:sz w:val="24"/>
          <w:szCs w:val="24"/>
          <w:lang w:val="en-US"/>
        </w:rPr>
        <w:t>., pp. 31-56). Abingdon: Routledge. https://doi.org/10.4324/9780429280993</w:t>
      </w:r>
    </w:p>
    <w:p w14:paraId="0113FD20" w14:textId="77777777" w:rsidR="00036587" w:rsidRPr="005B2A57" w:rsidRDefault="00036587" w:rsidP="00A50A74">
      <w:pPr>
        <w:spacing w:after="0" w:line="480" w:lineRule="auto"/>
        <w:rPr>
          <w:rFonts w:ascii="Times New Roman" w:hAnsi="Times New Roman" w:cs="Times New Roman"/>
          <w:sz w:val="24"/>
          <w:szCs w:val="24"/>
          <w:lang w:val="en-US"/>
        </w:rPr>
      </w:pPr>
    </w:p>
    <w:p w14:paraId="76E254D7" w14:textId="77777777"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 xml:space="preserve">Getz, D., &amp; Page, S. J. (2020). </w:t>
      </w:r>
      <w:r w:rsidRPr="005B2A57">
        <w:rPr>
          <w:rFonts w:ascii="Times New Roman" w:hAnsi="Times New Roman" w:cs="Times New Roman"/>
          <w:i/>
          <w:sz w:val="24"/>
          <w:szCs w:val="24"/>
          <w:lang w:val="en-US"/>
        </w:rPr>
        <w:t>Event studies: Theory, research and policy for planned</w:t>
      </w:r>
      <w:r w:rsidRPr="005B2A57">
        <w:rPr>
          <w:rFonts w:ascii="Times New Roman" w:hAnsi="Times New Roman" w:cs="Times New Roman"/>
          <w:i/>
          <w:sz w:val="24"/>
          <w:szCs w:val="24"/>
          <w:lang w:val="en-US"/>
        </w:rPr>
        <w:t xml:space="preserve"> events</w:t>
      </w:r>
      <w:r w:rsidRPr="005B2A57">
        <w:rPr>
          <w:rFonts w:ascii="Times New Roman" w:hAnsi="Times New Roman" w:cs="Times New Roman"/>
          <w:sz w:val="24"/>
          <w:szCs w:val="24"/>
          <w:lang w:val="en-US"/>
        </w:rPr>
        <w:t xml:space="preserve"> (4th </w:t>
      </w:r>
      <w:proofErr w:type="spellStart"/>
      <w:r w:rsidRPr="005B2A57">
        <w:rPr>
          <w:rFonts w:ascii="Times New Roman" w:hAnsi="Times New Roman" w:cs="Times New Roman"/>
          <w:sz w:val="24"/>
          <w:szCs w:val="24"/>
          <w:lang w:val="en-US"/>
        </w:rPr>
        <w:t>edn</w:t>
      </w:r>
      <w:proofErr w:type="spellEnd"/>
      <w:r w:rsidRPr="005B2A57">
        <w:rPr>
          <w:rFonts w:ascii="Times New Roman" w:hAnsi="Times New Roman" w:cs="Times New Roman"/>
          <w:sz w:val="24"/>
          <w:szCs w:val="24"/>
          <w:lang w:val="en-US"/>
        </w:rPr>
        <w:t>.). Abingdon: Routledge. https://doi.org/10.4324/9780429023002</w:t>
      </w:r>
    </w:p>
    <w:p w14:paraId="63DDC05A" w14:textId="77777777" w:rsidR="00036587" w:rsidRPr="005B2A57" w:rsidRDefault="00036587" w:rsidP="00A50A74">
      <w:pPr>
        <w:spacing w:after="0" w:line="480" w:lineRule="auto"/>
        <w:rPr>
          <w:rFonts w:ascii="Times New Roman" w:hAnsi="Times New Roman" w:cs="Times New Roman"/>
          <w:sz w:val="24"/>
          <w:szCs w:val="24"/>
          <w:lang w:val="en-US"/>
        </w:rPr>
      </w:pPr>
    </w:p>
    <w:p w14:paraId="4D293900" w14:textId="77777777"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 xml:space="preserve">Goldblatt, J., &amp; Lee, ‎S. (2020). </w:t>
      </w:r>
      <w:r w:rsidRPr="005B2A57">
        <w:rPr>
          <w:rFonts w:ascii="Times New Roman" w:hAnsi="Times New Roman" w:cs="Times New Roman"/>
          <w:i/>
          <w:sz w:val="24"/>
          <w:szCs w:val="24"/>
          <w:lang w:val="en-US"/>
        </w:rPr>
        <w:t>Special Events: A New Generation and the Next Frontier</w:t>
      </w:r>
      <w:r w:rsidRPr="005B2A57">
        <w:rPr>
          <w:rFonts w:ascii="Times New Roman" w:hAnsi="Times New Roman" w:cs="Times New Roman"/>
          <w:sz w:val="24"/>
          <w:szCs w:val="24"/>
          <w:lang w:val="en-US"/>
        </w:rPr>
        <w:t>. Wiley</w:t>
      </w:r>
    </w:p>
    <w:p w14:paraId="417C9BF4" w14:textId="77777777" w:rsidR="00036587" w:rsidRPr="005B2A57" w:rsidRDefault="00036587" w:rsidP="00A50A74">
      <w:pPr>
        <w:spacing w:after="0" w:line="480" w:lineRule="auto"/>
        <w:rPr>
          <w:rFonts w:ascii="Times New Roman" w:hAnsi="Times New Roman" w:cs="Times New Roman"/>
          <w:sz w:val="24"/>
          <w:szCs w:val="24"/>
          <w:lang w:val="en-US"/>
        </w:rPr>
      </w:pPr>
    </w:p>
    <w:p w14:paraId="6477A925" w14:textId="77777777"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Guo, C., Huang, X., &amp; Jia, F. (2020). Investment valuation of natural tourist attractions under the uncertainty of multiple unexpected events: an ROV method. Current Issues in Tourism, 23(19), 2440-2460.</w:t>
      </w:r>
    </w:p>
    <w:p w14:paraId="5DA0D18C" w14:textId="77777777" w:rsidR="00036587" w:rsidRPr="005B2A57" w:rsidRDefault="00036587" w:rsidP="00A50A74">
      <w:pPr>
        <w:spacing w:after="0" w:line="480" w:lineRule="auto"/>
        <w:rPr>
          <w:rFonts w:ascii="Times New Roman" w:hAnsi="Times New Roman" w:cs="Times New Roman"/>
          <w:sz w:val="24"/>
          <w:szCs w:val="24"/>
          <w:lang w:val="en-US"/>
        </w:rPr>
      </w:pPr>
    </w:p>
    <w:p w14:paraId="7D93D148" w14:textId="77777777" w:rsidR="00036587" w:rsidRPr="005B2A57" w:rsidRDefault="00C50426" w:rsidP="00A50A74">
      <w:pPr>
        <w:spacing w:after="0" w:line="480" w:lineRule="auto"/>
        <w:rPr>
          <w:rFonts w:ascii="Times New Roman" w:hAnsi="Times New Roman" w:cs="Times New Roman"/>
          <w:sz w:val="24"/>
          <w:szCs w:val="24"/>
          <w:lang w:val="en-US"/>
        </w:rPr>
      </w:pPr>
      <w:proofErr w:type="spellStart"/>
      <w:r w:rsidRPr="005B2A57">
        <w:rPr>
          <w:rFonts w:ascii="Times New Roman" w:hAnsi="Times New Roman" w:cs="Times New Roman"/>
          <w:sz w:val="24"/>
          <w:szCs w:val="24"/>
          <w:lang w:val="en-US"/>
        </w:rPr>
        <w:t>Hahm</w:t>
      </w:r>
      <w:proofErr w:type="spellEnd"/>
      <w:r w:rsidRPr="005B2A57">
        <w:rPr>
          <w:rFonts w:ascii="Times New Roman" w:hAnsi="Times New Roman" w:cs="Times New Roman"/>
          <w:sz w:val="24"/>
          <w:szCs w:val="24"/>
          <w:lang w:val="en-US"/>
        </w:rPr>
        <w:t>, J., Ro, H., &amp; Olson, E. D. (2018). Sense of b</w:t>
      </w:r>
      <w:r w:rsidRPr="005B2A57">
        <w:rPr>
          <w:rFonts w:ascii="Times New Roman" w:hAnsi="Times New Roman" w:cs="Times New Roman"/>
          <w:sz w:val="24"/>
          <w:szCs w:val="24"/>
          <w:lang w:val="en-US"/>
        </w:rPr>
        <w:t>elonging to a lesbian, gay, bisexual, and transgender event: the examination of affective bond and collective self-esteem. Journal of Travel &amp; Tourism Marketing, 35(2), 244-256.</w:t>
      </w:r>
    </w:p>
    <w:p w14:paraId="2AD0A6CD" w14:textId="77777777" w:rsidR="00036587" w:rsidRPr="005B2A57" w:rsidRDefault="00036587" w:rsidP="00A50A74">
      <w:pPr>
        <w:spacing w:after="0" w:line="480" w:lineRule="auto"/>
        <w:rPr>
          <w:rFonts w:ascii="Times New Roman" w:hAnsi="Times New Roman" w:cs="Times New Roman"/>
          <w:sz w:val="24"/>
          <w:szCs w:val="24"/>
          <w:lang w:val="en-US"/>
        </w:rPr>
      </w:pPr>
    </w:p>
    <w:p w14:paraId="219BD2D4" w14:textId="77777777"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Hsieh, Hsiu-Fang, and Sarah E. Shannon. 2005. “Three approaches to qualitativ</w:t>
      </w:r>
      <w:r w:rsidRPr="005B2A57">
        <w:rPr>
          <w:rFonts w:ascii="Times New Roman" w:hAnsi="Times New Roman" w:cs="Times New Roman"/>
          <w:sz w:val="24"/>
          <w:szCs w:val="24"/>
          <w:lang w:val="en-US"/>
        </w:rPr>
        <w:t>e content analysis.” Qualitative Health Research 15, no. 9: 1277–1288. https://doi.org/10.1177/1049732305276687</w:t>
      </w:r>
    </w:p>
    <w:p w14:paraId="71F3C603" w14:textId="77777777" w:rsidR="00036587" w:rsidRPr="005B2A57" w:rsidRDefault="00036587" w:rsidP="00A50A74">
      <w:pPr>
        <w:spacing w:after="0" w:line="480" w:lineRule="auto"/>
        <w:rPr>
          <w:rFonts w:ascii="Times New Roman" w:hAnsi="Times New Roman" w:cs="Times New Roman"/>
          <w:sz w:val="24"/>
          <w:szCs w:val="24"/>
          <w:lang w:val="en-US"/>
        </w:rPr>
      </w:pPr>
    </w:p>
    <w:p w14:paraId="3000475E" w14:textId="77777777"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Hutton, A., &amp; Jaensch, J. (2015). Alcohol use at outdoor music festivals. Australian Nursing and Midwifery Journal, 22(10), 42.</w:t>
      </w:r>
    </w:p>
    <w:p w14:paraId="15BEB8BE" w14:textId="77777777" w:rsidR="00036587" w:rsidRPr="005B2A57" w:rsidRDefault="00036587" w:rsidP="00A50A74">
      <w:pPr>
        <w:spacing w:after="0" w:line="480" w:lineRule="auto"/>
        <w:rPr>
          <w:rFonts w:ascii="Times New Roman" w:hAnsi="Times New Roman" w:cs="Times New Roman"/>
          <w:sz w:val="24"/>
          <w:szCs w:val="24"/>
          <w:lang w:val="en-US"/>
        </w:rPr>
      </w:pPr>
    </w:p>
    <w:p w14:paraId="50C21176" w14:textId="77777777"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Jones, M. (201</w:t>
      </w:r>
      <w:r w:rsidRPr="005B2A57">
        <w:rPr>
          <w:rFonts w:ascii="Times New Roman" w:hAnsi="Times New Roman" w:cs="Times New Roman"/>
          <w:sz w:val="24"/>
          <w:szCs w:val="24"/>
          <w:lang w:val="en-US"/>
        </w:rPr>
        <w:t xml:space="preserve">8). Sustainable Event Management: A Practical Guide (3rd </w:t>
      </w:r>
      <w:proofErr w:type="spellStart"/>
      <w:r w:rsidRPr="005B2A57">
        <w:rPr>
          <w:rFonts w:ascii="Times New Roman" w:hAnsi="Times New Roman" w:cs="Times New Roman"/>
          <w:sz w:val="24"/>
          <w:szCs w:val="24"/>
          <w:lang w:val="en-US"/>
        </w:rPr>
        <w:t>edn</w:t>
      </w:r>
      <w:proofErr w:type="spellEnd"/>
      <w:r w:rsidRPr="005B2A57">
        <w:rPr>
          <w:rFonts w:ascii="Times New Roman" w:hAnsi="Times New Roman" w:cs="Times New Roman"/>
          <w:sz w:val="24"/>
          <w:szCs w:val="24"/>
          <w:lang w:val="en-US"/>
        </w:rPr>
        <w:t>.). Earthscan.</w:t>
      </w:r>
    </w:p>
    <w:p w14:paraId="4024BDCC" w14:textId="77777777" w:rsidR="00036587" w:rsidRPr="005B2A57" w:rsidRDefault="00036587" w:rsidP="00A50A74">
      <w:pPr>
        <w:spacing w:after="0" w:line="480" w:lineRule="auto"/>
        <w:rPr>
          <w:rFonts w:ascii="Times New Roman" w:hAnsi="Times New Roman" w:cs="Times New Roman"/>
          <w:sz w:val="24"/>
          <w:szCs w:val="24"/>
          <w:lang w:val="en-US"/>
        </w:rPr>
      </w:pPr>
    </w:p>
    <w:p w14:paraId="5C922475" w14:textId="77777777" w:rsidR="00036587" w:rsidRPr="005B2A57" w:rsidRDefault="00C50426" w:rsidP="00A50A74">
      <w:pPr>
        <w:spacing w:after="0" w:line="480" w:lineRule="auto"/>
        <w:rPr>
          <w:rFonts w:ascii="Times New Roman" w:hAnsi="Times New Roman" w:cs="Times New Roman"/>
          <w:sz w:val="24"/>
          <w:szCs w:val="24"/>
          <w:lang w:val="en-US"/>
        </w:rPr>
      </w:pPr>
      <w:proofErr w:type="spellStart"/>
      <w:r w:rsidRPr="005B2A57">
        <w:rPr>
          <w:rFonts w:ascii="Times New Roman" w:hAnsi="Times New Roman" w:cs="Times New Roman"/>
          <w:sz w:val="24"/>
          <w:szCs w:val="24"/>
          <w:lang w:val="en-US"/>
        </w:rPr>
        <w:t>Katongole</w:t>
      </w:r>
      <w:proofErr w:type="spellEnd"/>
      <w:r w:rsidRPr="005B2A57">
        <w:rPr>
          <w:rFonts w:ascii="Times New Roman" w:hAnsi="Times New Roman" w:cs="Times New Roman"/>
          <w:sz w:val="24"/>
          <w:szCs w:val="24"/>
          <w:lang w:val="en-US"/>
        </w:rPr>
        <w:t xml:space="preserve">, E. (2020, October 2). A </w:t>
      </w:r>
      <w:proofErr w:type="spellStart"/>
      <w:r w:rsidRPr="005B2A57">
        <w:rPr>
          <w:rFonts w:ascii="Times New Roman" w:hAnsi="Times New Roman" w:cs="Times New Roman"/>
          <w:sz w:val="24"/>
          <w:szCs w:val="24"/>
          <w:lang w:val="en-US"/>
        </w:rPr>
        <w:t>kairos</w:t>
      </w:r>
      <w:proofErr w:type="spellEnd"/>
      <w:r w:rsidRPr="005B2A57">
        <w:rPr>
          <w:rFonts w:ascii="Times New Roman" w:hAnsi="Times New Roman" w:cs="Times New Roman"/>
          <w:sz w:val="24"/>
          <w:szCs w:val="24"/>
          <w:lang w:val="en-US"/>
        </w:rPr>
        <w:t xml:space="preserve"> moment: Prophecy and hope in the time of COVID-19. Keough School of Global Affairs. University of Notre Dame. https://keough.nd.edu/a-kair</w:t>
      </w:r>
      <w:r w:rsidRPr="005B2A57">
        <w:rPr>
          <w:rFonts w:ascii="Times New Roman" w:hAnsi="Times New Roman" w:cs="Times New Roman"/>
          <w:sz w:val="24"/>
          <w:szCs w:val="24"/>
          <w:lang w:val="en-US"/>
        </w:rPr>
        <w:t>os-moment-prophecy-and-hope-in-the-time-of-covid-19/</w:t>
      </w:r>
    </w:p>
    <w:p w14:paraId="6D8D852D" w14:textId="77777777" w:rsidR="00036587" w:rsidRPr="005B2A57" w:rsidRDefault="00036587" w:rsidP="00A50A74">
      <w:pPr>
        <w:spacing w:after="0" w:line="480" w:lineRule="auto"/>
        <w:rPr>
          <w:rFonts w:ascii="Times New Roman" w:hAnsi="Times New Roman" w:cs="Times New Roman"/>
          <w:sz w:val="24"/>
          <w:szCs w:val="24"/>
          <w:lang w:val="en-US"/>
        </w:rPr>
      </w:pPr>
    </w:p>
    <w:p w14:paraId="693B0608" w14:textId="77777777"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lastRenderedPageBreak/>
        <w:t xml:space="preserve">Katz, E., &amp; </w:t>
      </w:r>
      <w:proofErr w:type="spellStart"/>
      <w:r w:rsidRPr="005B2A57">
        <w:rPr>
          <w:rFonts w:ascii="Times New Roman" w:hAnsi="Times New Roman" w:cs="Times New Roman"/>
          <w:sz w:val="24"/>
          <w:szCs w:val="24"/>
          <w:lang w:val="en-US"/>
        </w:rPr>
        <w:t>Liebes</w:t>
      </w:r>
      <w:proofErr w:type="spellEnd"/>
      <w:r w:rsidRPr="005B2A57">
        <w:rPr>
          <w:rFonts w:ascii="Times New Roman" w:hAnsi="Times New Roman" w:cs="Times New Roman"/>
          <w:sz w:val="24"/>
          <w:szCs w:val="24"/>
          <w:lang w:val="en-US"/>
        </w:rPr>
        <w:t>, T. (2007). “No more peace!” How disaster, terror and war have upstaged media events. International Journal of Communication, 1(2007), 157–166.</w:t>
      </w:r>
    </w:p>
    <w:p w14:paraId="18635652" w14:textId="77777777" w:rsidR="00036587" w:rsidRPr="005B2A57" w:rsidRDefault="00036587" w:rsidP="00A50A74">
      <w:pPr>
        <w:spacing w:after="0" w:line="480" w:lineRule="auto"/>
        <w:rPr>
          <w:rFonts w:ascii="Times New Roman" w:hAnsi="Times New Roman" w:cs="Times New Roman"/>
          <w:sz w:val="24"/>
          <w:szCs w:val="24"/>
          <w:lang w:val="en-US"/>
        </w:rPr>
      </w:pPr>
    </w:p>
    <w:p w14:paraId="35F35378" w14:textId="77777777"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 xml:space="preserve">Kim, C. M. (2016). </w:t>
      </w:r>
      <w:r w:rsidRPr="005B2A57">
        <w:rPr>
          <w:rFonts w:ascii="Times New Roman" w:hAnsi="Times New Roman" w:cs="Times New Roman"/>
          <w:i/>
          <w:sz w:val="24"/>
          <w:szCs w:val="24"/>
          <w:lang w:val="en-US"/>
        </w:rPr>
        <w:t>Social Media Campai</w:t>
      </w:r>
      <w:r w:rsidRPr="005B2A57">
        <w:rPr>
          <w:rFonts w:ascii="Times New Roman" w:hAnsi="Times New Roman" w:cs="Times New Roman"/>
          <w:i/>
          <w:sz w:val="24"/>
          <w:szCs w:val="24"/>
          <w:lang w:val="en-US"/>
        </w:rPr>
        <w:t>gns: Strategies for Public Relations and Marketing</w:t>
      </w:r>
      <w:r w:rsidRPr="005B2A57">
        <w:rPr>
          <w:rFonts w:ascii="Times New Roman" w:hAnsi="Times New Roman" w:cs="Times New Roman"/>
          <w:sz w:val="24"/>
          <w:szCs w:val="24"/>
          <w:lang w:val="en-US"/>
        </w:rPr>
        <w:t>. New York: Routledge</w:t>
      </w:r>
    </w:p>
    <w:p w14:paraId="52D5E79A" w14:textId="77777777" w:rsidR="00036587" w:rsidRPr="005B2A57" w:rsidRDefault="00036587" w:rsidP="00A50A74">
      <w:pPr>
        <w:spacing w:after="0" w:line="480" w:lineRule="auto"/>
        <w:rPr>
          <w:rFonts w:ascii="Times New Roman" w:hAnsi="Times New Roman" w:cs="Times New Roman"/>
          <w:sz w:val="24"/>
          <w:szCs w:val="24"/>
          <w:lang w:val="en-US"/>
        </w:rPr>
      </w:pPr>
    </w:p>
    <w:p w14:paraId="7322E3F2" w14:textId="77777777"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Knight, G. L. (2014). Pop Culture Places: An Encyclopedia of Places in American Popular Culture [3 volumes]. ABC-CLIO</w:t>
      </w:r>
    </w:p>
    <w:p w14:paraId="1C8FB56D" w14:textId="77777777" w:rsidR="00036587" w:rsidRPr="005B2A57" w:rsidRDefault="00036587" w:rsidP="00A50A74">
      <w:pPr>
        <w:spacing w:after="0" w:line="480" w:lineRule="auto"/>
        <w:rPr>
          <w:rFonts w:ascii="Times New Roman" w:hAnsi="Times New Roman" w:cs="Times New Roman"/>
          <w:sz w:val="24"/>
          <w:szCs w:val="24"/>
          <w:lang w:val="en-US"/>
        </w:rPr>
      </w:pPr>
    </w:p>
    <w:p w14:paraId="502FC979" w14:textId="77777777"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 xml:space="preserve">Koch, M., Fischer, M. R., </w:t>
      </w:r>
      <w:proofErr w:type="spellStart"/>
      <w:r w:rsidRPr="005B2A57">
        <w:rPr>
          <w:rFonts w:ascii="Times New Roman" w:hAnsi="Times New Roman" w:cs="Times New Roman"/>
          <w:sz w:val="24"/>
          <w:szCs w:val="24"/>
          <w:lang w:val="en-US"/>
        </w:rPr>
        <w:t>Tipold</w:t>
      </w:r>
      <w:proofErr w:type="spellEnd"/>
      <w:r w:rsidRPr="005B2A57">
        <w:rPr>
          <w:rFonts w:ascii="Times New Roman" w:hAnsi="Times New Roman" w:cs="Times New Roman"/>
          <w:sz w:val="24"/>
          <w:szCs w:val="24"/>
          <w:lang w:val="en-US"/>
        </w:rPr>
        <w:t>, A., &amp; Ehlers, J. P. (2012). Can online conference systems improve veterinary education? A study about the capability of online conferencing and its acceptance. Journal of Veterinary Medical Education, 39(3), 283-296, https</w:t>
      </w:r>
      <w:r w:rsidRPr="005B2A57">
        <w:rPr>
          <w:rFonts w:ascii="Times New Roman" w:hAnsi="Times New Roman" w:cs="Times New Roman"/>
          <w:sz w:val="24"/>
          <w:szCs w:val="24"/>
          <w:lang w:val="en-US"/>
        </w:rPr>
        <w:t>://doi.org/10.3138/jvme.0911-097R</w:t>
      </w:r>
    </w:p>
    <w:p w14:paraId="54510D9C" w14:textId="77777777" w:rsidR="00036587" w:rsidRPr="005B2A57" w:rsidRDefault="00036587" w:rsidP="00A50A74">
      <w:pPr>
        <w:spacing w:after="0" w:line="480" w:lineRule="auto"/>
        <w:rPr>
          <w:rFonts w:ascii="Times New Roman" w:hAnsi="Times New Roman" w:cs="Times New Roman"/>
          <w:sz w:val="24"/>
          <w:szCs w:val="24"/>
          <w:lang w:val="en-US"/>
        </w:rPr>
      </w:pPr>
    </w:p>
    <w:p w14:paraId="4483EDAB" w14:textId="77777777" w:rsidR="00036587" w:rsidRPr="005B2A57" w:rsidRDefault="00C50426" w:rsidP="00A50A74">
      <w:pPr>
        <w:spacing w:after="0" w:line="480" w:lineRule="auto"/>
        <w:rPr>
          <w:rFonts w:ascii="Times New Roman" w:hAnsi="Times New Roman" w:cs="Times New Roman"/>
          <w:sz w:val="24"/>
          <w:szCs w:val="24"/>
          <w:lang w:val="en-US"/>
        </w:rPr>
      </w:pPr>
      <w:proofErr w:type="spellStart"/>
      <w:r w:rsidRPr="005B2A57">
        <w:rPr>
          <w:rFonts w:ascii="Times New Roman" w:hAnsi="Times New Roman" w:cs="Times New Roman"/>
          <w:sz w:val="24"/>
          <w:szCs w:val="24"/>
          <w:lang w:val="en-US"/>
        </w:rPr>
        <w:t>Kuusik</w:t>
      </w:r>
      <w:proofErr w:type="spellEnd"/>
      <w:r w:rsidRPr="005B2A57">
        <w:rPr>
          <w:rFonts w:ascii="Times New Roman" w:hAnsi="Times New Roman" w:cs="Times New Roman"/>
          <w:sz w:val="24"/>
          <w:szCs w:val="24"/>
          <w:lang w:val="en-US"/>
        </w:rPr>
        <w:t xml:space="preserve">, A., </w:t>
      </w:r>
      <w:proofErr w:type="spellStart"/>
      <w:r w:rsidRPr="005B2A57">
        <w:rPr>
          <w:rFonts w:ascii="Times New Roman" w:hAnsi="Times New Roman" w:cs="Times New Roman"/>
          <w:sz w:val="24"/>
          <w:szCs w:val="24"/>
          <w:lang w:val="en-US"/>
        </w:rPr>
        <w:t>Nilbe</w:t>
      </w:r>
      <w:proofErr w:type="spellEnd"/>
      <w:r w:rsidRPr="005B2A57">
        <w:rPr>
          <w:rFonts w:ascii="Times New Roman" w:hAnsi="Times New Roman" w:cs="Times New Roman"/>
          <w:sz w:val="24"/>
          <w:szCs w:val="24"/>
          <w:lang w:val="en-US"/>
        </w:rPr>
        <w:t xml:space="preserve">, K., </w:t>
      </w:r>
      <w:proofErr w:type="spellStart"/>
      <w:r w:rsidRPr="005B2A57">
        <w:rPr>
          <w:rFonts w:ascii="Times New Roman" w:hAnsi="Times New Roman" w:cs="Times New Roman"/>
          <w:sz w:val="24"/>
          <w:szCs w:val="24"/>
          <w:lang w:val="en-US"/>
        </w:rPr>
        <w:t>Mehine</w:t>
      </w:r>
      <w:proofErr w:type="spellEnd"/>
      <w:r w:rsidRPr="005B2A57">
        <w:rPr>
          <w:rFonts w:ascii="Times New Roman" w:hAnsi="Times New Roman" w:cs="Times New Roman"/>
          <w:sz w:val="24"/>
          <w:szCs w:val="24"/>
          <w:lang w:val="en-US"/>
        </w:rPr>
        <w:t xml:space="preserve">, T., &amp; </w:t>
      </w:r>
      <w:proofErr w:type="spellStart"/>
      <w:r w:rsidRPr="005B2A57">
        <w:rPr>
          <w:rFonts w:ascii="Times New Roman" w:hAnsi="Times New Roman" w:cs="Times New Roman"/>
          <w:sz w:val="24"/>
          <w:szCs w:val="24"/>
          <w:lang w:val="en-US"/>
        </w:rPr>
        <w:t>Ahas</w:t>
      </w:r>
      <w:proofErr w:type="spellEnd"/>
      <w:r w:rsidRPr="005B2A57">
        <w:rPr>
          <w:rFonts w:ascii="Times New Roman" w:hAnsi="Times New Roman" w:cs="Times New Roman"/>
          <w:sz w:val="24"/>
          <w:szCs w:val="24"/>
          <w:lang w:val="en-US"/>
        </w:rPr>
        <w:t>, R. (2014). Country as a free sample: the ability of tourism events to generate repeat visits. Case study with mobile positioning data in Estonia. Procedia-Social and Behavioral S</w:t>
      </w:r>
      <w:r w:rsidRPr="005B2A57">
        <w:rPr>
          <w:rFonts w:ascii="Times New Roman" w:hAnsi="Times New Roman" w:cs="Times New Roman"/>
          <w:sz w:val="24"/>
          <w:szCs w:val="24"/>
          <w:lang w:val="en-US"/>
        </w:rPr>
        <w:t>ciences, 148, 262-270.</w:t>
      </w:r>
    </w:p>
    <w:p w14:paraId="1441845A" w14:textId="77777777" w:rsidR="00036587" w:rsidRPr="005B2A57" w:rsidRDefault="00036587" w:rsidP="00A50A74">
      <w:pPr>
        <w:spacing w:after="0" w:line="480" w:lineRule="auto"/>
        <w:rPr>
          <w:rFonts w:ascii="Times New Roman" w:hAnsi="Times New Roman" w:cs="Times New Roman"/>
          <w:sz w:val="24"/>
          <w:szCs w:val="24"/>
          <w:lang w:val="en-US"/>
        </w:rPr>
      </w:pPr>
    </w:p>
    <w:p w14:paraId="307F3242" w14:textId="77777777"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 xml:space="preserve">Lin, Y. R., Keegan, B., Margolin, D., &amp; </w:t>
      </w:r>
      <w:proofErr w:type="spellStart"/>
      <w:r w:rsidRPr="005B2A57">
        <w:rPr>
          <w:rFonts w:ascii="Times New Roman" w:hAnsi="Times New Roman" w:cs="Times New Roman"/>
          <w:sz w:val="24"/>
          <w:szCs w:val="24"/>
          <w:lang w:val="en-US"/>
        </w:rPr>
        <w:t>Lazer</w:t>
      </w:r>
      <w:proofErr w:type="spellEnd"/>
      <w:r w:rsidRPr="005B2A57">
        <w:rPr>
          <w:rFonts w:ascii="Times New Roman" w:hAnsi="Times New Roman" w:cs="Times New Roman"/>
          <w:sz w:val="24"/>
          <w:szCs w:val="24"/>
          <w:lang w:val="en-US"/>
        </w:rPr>
        <w:t xml:space="preserve">, D. (2014). Rising tides or rising stars?: Dynamics of shared attention on Twitter during media events. </w:t>
      </w:r>
      <w:proofErr w:type="spellStart"/>
      <w:r w:rsidRPr="005B2A57">
        <w:rPr>
          <w:rFonts w:ascii="Times New Roman" w:hAnsi="Times New Roman" w:cs="Times New Roman"/>
          <w:sz w:val="24"/>
          <w:szCs w:val="24"/>
          <w:lang w:val="en-US"/>
        </w:rPr>
        <w:t>PloS</w:t>
      </w:r>
      <w:proofErr w:type="spellEnd"/>
      <w:r w:rsidRPr="005B2A57">
        <w:rPr>
          <w:rFonts w:ascii="Times New Roman" w:hAnsi="Times New Roman" w:cs="Times New Roman"/>
          <w:sz w:val="24"/>
          <w:szCs w:val="24"/>
          <w:lang w:val="en-US"/>
        </w:rPr>
        <w:t xml:space="preserve"> one, 9(5), e94093.</w:t>
      </w:r>
    </w:p>
    <w:p w14:paraId="1AB7E558" w14:textId="77777777" w:rsidR="00036587" w:rsidRPr="005B2A57" w:rsidRDefault="00036587" w:rsidP="00A50A74">
      <w:pPr>
        <w:spacing w:after="0" w:line="480" w:lineRule="auto"/>
        <w:rPr>
          <w:rFonts w:ascii="Times New Roman" w:hAnsi="Times New Roman" w:cs="Times New Roman"/>
          <w:sz w:val="24"/>
          <w:szCs w:val="24"/>
          <w:lang w:val="en-US"/>
        </w:rPr>
      </w:pPr>
    </w:p>
    <w:p w14:paraId="1BE632DE" w14:textId="77777777"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 xml:space="preserve">Lucas, R. (2021, June 9). </w:t>
      </w:r>
      <w:r w:rsidRPr="005B2A57">
        <w:rPr>
          <w:rFonts w:ascii="Times New Roman" w:hAnsi="Times New Roman" w:cs="Times New Roman"/>
          <w:i/>
          <w:sz w:val="24"/>
          <w:szCs w:val="24"/>
          <w:lang w:val="en-US"/>
        </w:rPr>
        <w:t>Why “Pre-Events” before TEDx (o</w:t>
      </w:r>
      <w:r w:rsidRPr="005B2A57">
        <w:rPr>
          <w:rFonts w:ascii="Times New Roman" w:hAnsi="Times New Roman" w:cs="Times New Roman"/>
          <w:i/>
          <w:sz w:val="24"/>
          <w:szCs w:val="24"/>
          <w:lang w:val="en-US"/>
        </w:rPr>
        <w:t>r other) events?</w:t>
      </w:r>
      <w:r w:rsidRPr="005B2A57">
        <w:rPr>
          <w:rFonts w:ascii="Times New Roman" w:hAnsi="Times New Roman" w:cs="Times New Roman"/>
          <w:sz w:val="24"/>
          <w:szCs w:val="24"/>
          <w:lang w:val="en-US"/>
        </w:rPr>
        <w:t xml:space="preserve"> Richard Lucas. https://www.richardlucas.com/2021/06/why-pre-events-before-tedx-or-other-events/</w:t>
      </w:r>
    </w:p>
    <w:p w14:paraId="693A3694" w14:textId="77777777" w:rsidR="00036587" w:rsidRPr="005B2A57" w:rsidRDefault="00036587" w:rsidP="00A50A74">
      <w:pPr>
        <w:spacing w:after="0" w:line="480" w:lineRule="auto"/>
        <w:rPr>
          <w:rFonts w:ascii="Times New Roman" w:hAnsi="Times New Roman" w:cs="Times New Roman"/>
          <w:sz w:val="24"/>
          <w:szCs w:val="24"/>
          <w:lang w:val="en-US"/>
        </w:rPr>
      </w:pPr>
    </w:p>
    <w:p w14:paraId="794CB3FD" w14:textId="77777777"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lastRenderedPageBreak/>
        <w:t xml:space="preserve">Ma, S. C., Egan, D., </w:t>
      </w:r>
      <w:proofErr w:type="spellStart"/>
      <w:r w:rsidRPr="005B2A57">
        <w:rPr>
          <w:rFonts w:ascii="Times New Roman" w:hAnsi="Times New Roman" w:cs="Times New Roman"/>
          <w:sz w:val="24"/>
          <w:szCs w:val="24"/>
          <w:lang w:val="en-US"/>
        </w:rPr>
        <w:t>Rotherham</w:t>
      </w:r>
      <w:proofErr w:type="spellEnd"/>
      <w:r w:rsidRPr="005B2A57">
        <w:rPr>
          <w:rFonts w:ascii="Times New Roman" w:hAnsi="Times New Roman" w:cs="Times New Roman"/>
          <w:sz w:val="24"/>
          <w:szCs w:val="24"/>
          <w:lang w:val="en-US"/>
        </w:rPr>
        <w:t xml:space="preserve">, I., &amp; Ma, S. M. (2011). A framework for monitoring during the planning stage for a sports mega-event. Journal </w:t>
      </w:r>
      <w:r w:rsidRPr="005B2A57">
        <w:rPr>
          <w:rFonts w:ascii="Times New Roman" w:hAnsi="Times New Roman" w:cs="Times New Roman"/>
          <w:sz w:val="24"/>
          <w:szCs w:val="24"/>
          <w:lang w:val="en-US"/>
        </w:rPr>
        <w:t>of Sustainable Tourism, 19(1), 79-96.</w:t>
      </w:r>
    </w:p>
    <w:p w14:paraId="0EA1E427" w14:textId="77777777" w:rsidR="00036587" w:rsidRPr="005B2A57" w:rsidRDefault="00036587" w:rsidP="00A50A74">
      <w:pPr>
        <w:spacing w:after="0" w:line="480" w:lineRule="auto"/>
        <w:rPr>
          <w:rFonts w:ascii="Times New Roman" w:hAnsi="Times New Roman" w:cs="Times New Roman"/>
          <w:sz w:val="24"/>
          <w:szCs w:val="24"/>
          <w:lang w:val="en-US"/>
        </w:rPr>
      </w:pPr>
    </w:p>
    <w:p w14:paraId="73BA6DBA" w14:textId="77777777"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 xml:space="preserve">Ma, S. C., Ma, S. M., Wu, J. H., &amp; </w:t>
      </w:r>
      <w:proofErr w:type="spellStart"/>
      <w:r w:rsidRPr="005B2A57">
        <w:rPr>
          <w:rFonts w:ascii="Times New Roman" w:hAnsi="Times New Roman" w:cs="Times New Roman"/>
          <w:sz w:val="24"/>
          <w:szCs w:val="24"/>
          <w:lang w:val="en-US"/>
        </w:rPr>
        <w:t>Rotherham</w:t>
      </w:r>
      <w:proofErr w:type="spellEnd"/>
      <w:r w:rsidRPr="005B2A57">
        <w:rPr>
          <w:rFonts w:ascii="Times New Roman" w:hAnsi="Times New Roman" w:cs="Times New Roman"/>
          <w:sz w:val="24"/>
          <w:szCs w:val="24"/>
          <w:lang w:val="en-US"/>
        </w:rPr>
        <w:t>, I. D. (2013). Host residents' perception changes on major sport events. European Sport Management Quarterly, 13(5), 511-536.</w:t>
      </w:r>
    </w:p>
    <w:p w14:paraId="5210764D" w14:textId="77777777" w:rsidR="00036587" w:rsidRPr="005B2A57" w:rsidRDefault="00036587" w:rsidP="00A50A74">
      <w:pPr>
        <w:spacing w:after="0" w:line="480" w:lineRule="auto"/>
        <w:rPr>
          <w:rFonts w:ascii="Times New Roman" w:hAnsi="Times New Roman" w:cs="Times New Roman"/>
          <w:sz w:val="24"/>
          <w:szCs w:val="24"/>
          <w:lang w:val="en-US"/>
        </w:rPr>
      </w:pPr>
    </w:p>
    <w:p w14:paraId="5C973A05" w14:textId="77777777"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Moise, D., &amp; Macovei, O. I. (2014). Green Eve</w:t>
      </w:r>
      <w:r w:rsidRPr="005B2A57">
        <w:rPr>
          <w:rFonts w:ascii="Times New Roman" w:hAnsi="Times New Roman" w:cs="Times New Roman"/>
          <w:sz w:val="24"/>
          <w:szCs w:val="24"/>
          <w:lang w:val="en-US"/>
        </w:rPr>
        <w:t>nts-The New Responsibility of the Organizations. Romanian Journal of Marketing, 3, 35-39.</w:t>
      </w:r>
    </w:p>
    <w:p w14:paraId="3099A7AF" w14:textId="77777777" w:rsidR="00036587" w:rsidRPr="005B2A57" w:rsidRDefault="00036587" w:rsidP="00A50A74">
      <w:pPr>
        <w:spacing w:after="0" w:line="480" w:lineRule="auto"/>
        <w:rPr>
          <w:rFonts w:ascii="Times New Roman" w:hAnsi="Times New Roman" w:cs="Times New Roman"/>
          <w:sz w:val="24"/>
          <w:szCs w:val="24"/>
          <w:lang w:val="en-US"/>
        </w:rPr>
      </w:pPr>
    </w:p>
    <w:p w14:paraId="11C2C48F" w14:textId="77777777"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 xml:space="preserve">Nobel Outreach (2021). </w:t>
      </w:r>
      <w:r w:rsidRPr="005B2A57">
        <w:rPr>
          <w:rFonts w:ascii="Times New Roman" w:hAnsi="Times New Roman" w:cs="Times New Roman"/>
          <w:i/>
          <w:sz w:val="24"/>
          <w:szCs w:val="24"/>
          <w:lang w:val="en-US"/>
        </w:rPr>
        <w:t>Nobel Week Dialogue</w:t>
      </w:r>
      <w:r w:rsidRPr="005B2A57">
        <w:rPr>
          <w:rFonts w:ascii="Times New Roman" w:hAnsi="Times New Roman" w:cs="Times New Roman"/>
          <w:sz w:val="24"/>
          <w:szCs w:val="24"/>
          <w:lang w:val="en-US"/>
        </w:rPr>
        <w:t>. Nobel Outreach AB. https://www.nobelprize.org/events/nobel-prize-dialogue/</w:t>
      </w:r>
    </w:p>
    <w:p w14:paraId="77FB6F92" w14:textId="77777777" w:rsidR="00036587" w:rsidRPr="005B2A57" w:rsidRDefault="00036587" w:rsidP="00A50A74">
      <w:pPr>
        <w:spacing w:after="0" w:line="480" w:lineRule="auto"/>
        <w:rPr>
          <w:rFonts w:ascii="Times New Roman" w:hAnsi="Times New Roman" w:cs="Times New Roman"/>
          <w:sz w:val="24"/>
          <w:szCs w:val="24"/>
          <w:lang w:val="en-US"/>
        </w:rPr>
      </w:pPr>
    </w:p>
    <w:p w14:paraId="03F43B24" w14:textId="77777777"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Page, R. (2020, August 27). Report: Covid eff</w:t>
      </w:r>
      <w:r w:rsidRPr="005B2A57">
        <w:rPr>
          <w:rFonts w:ascii="Times New Roman" w:hAnsi="Times New Roman" w:cs="Times New Roman"/>
          <w:sz w:val="24"/>
          <w:szCs w:val="24"/>
          <w:lang w:val="en-US"/>
        </w:rPr>
        <w:t>ect sees digital events on the rise long-term. CMO. https://www.cmo.com.au/article/682469/report-covid-effect-sees-digital-events-rise-long-term/</w:t>
      </w:r>
    </w:p>
    <w:p w14:paraId="4B8D745F" w14:textId="77777777" w:rsidR="00036587" w:rsidRPr="005B2A57" w:rsidRDefault="00036587" w:rsidP="00A50A74">
      <w:pPr>
        <w:spacing w:after="0" w:line="480" w:lineRule="auto"/>
        <w:rPr>
          <w:rFonts w:ascii="Times New Roman" w:hAnsi="Times New Roman" w:cs="Times New Roman"/>
          <w:sz w:val="24"/>
          <w:szCs w:val="24"/>
          <w:lang w:val="en-US"/>
        </w:rPr>
      </w:pPr>
    </w:p>
    <w:p w14:paraId="0CB6455E" w14:textId="77777777"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 xml:space="preserve">Potter, D. (2011). </w:t>
      </w:r>
      <w:r w:rsidRPr="005B2A57">
        <w:rPr>
          <w:rFonts w:ascii="Times New Roman" w:hAnsi="Times New Roman" w:cs="Times New Roman"/>
          <w:i/>
          <w:sz w:val="24"/>
          <w:szCs w:val="24"/>
          <w:lang w:val="en-US"/>
        </w:rPr>
        <w:t>The Victor’s Crown</w:t>
      </w:r>
      <w:r w:rsidRPr="005B2A57">
        <w:rPr>
          <w:rFonts w:ascii="Times New Roman" w:hAnsi="Times New Roman" w:cs="Times New Roman"/>
          <w:sz w:val="24"/>
          <w:szCs w:val="24"/>
          <w:lang w:val="en-US"/>
        </w:rPr>
        <w:t>. London: Quercus</w:t>
      </w:r>
    </w:p>
    <w:p w14:paraId="478FED5B" w14:textId="77777777" w:rsidR="00036587" w:rsidRPr="005B2A57" w:rsidRDefault="00036587" w:rsidP="00A50A74">
      <w:pPr>
        <w:spacing w:after="0" w:line="480" w:lineRule="auto"/>
        <w:rPr>
          <w:rFonts w:ascii="Times New Roman" w:hAnsi="Times New Roman" w:cs="Times New Roman"/>
          <w:sz w:val="24"/>
          <w:szCs w:val="24"/>
          <w:lang w:val="en-US"/>
        </w:rPr>
      </w:pPr>
    </w:p>
    <w:p w14:paraId="77919D76" w14:textId="77777777" w:rsidR="00036587" w:rsidRPr="005B2A57" w:rsidRDefault="00C50426" w:rsidP="00A50A74">
      <w:pPr>
        <w:spacing w:after="0" w:line="480" w:lineRule="auto"/>
        <w:rPr>
          <w:rFonts w:ascii="Times New Roman" w:hAnsi="Times New Roman" w:cs="Times New Roman"/>
          <w:sz w:val="24"/>
          <w:szCs w:val="24"/>
          <w:lang w:val="en-US"/>
        </w:rPr>
      </w:pPr>
      <w:proofErr w:type="spellStart"/>
      <w:r w:rsidRPr="005B2A57">
        <w:rPr>
          <w:rFonts w:ascii="Times New Roman" w:hAnsi="Times New Roman" w:cs="Times New Roman"/>
          <w:sz w:val="24"/>
          <w:szCs w:val="24"/>
          <w:lang w:val="en-US"/>
        </w:rPr>
        <w:t>ReportLinker</w:t>
      </w:r>
      <w:proofErr w:type="spellEnd"/>
      <w:r w:rsidRPr="005B2A57">
        <w:rPr>
          <w:rFonts w:ascii="Times New Roman" w:hAnsi="Times New Roman" w:cs="Times New Roman"/>
          <w:sz w:val="24"/>
          <w:szCs w:val="24"/>
          <w:lang w:val="en-US"/>
        </w:rPr>
        <w:t>. (2021, July 12). The global virtual eve</w:t>
      </w:r>
      <w:r w:rsidRPr="005B2A57">
        <w:rPr>
          <w:rFonts w:ascii="Times New Roman" w:hAnsi="Times New Roman" w:cs="Times New Roman"/>
          <w:sz w:val="24"/>
          <w:szCs w:val="24"/>
          <w:lang w:val="en-US"/>
        </w:rPr>
        <w:t xml:space="preserve">nt platform market size is expected to grow at a Compound Annual Growth Rate (CAGR) of 12.7%. </w:t>
      </w:r>
      <w:proofErr w:type="spellStart"/>
      <w:r w:rsidRPr="005B2A57">
        <w:rPr>
          <w:rFonts w:ascii="Times New Roman" w:hAnsi="Times New Roman" w:cs="Times New Roman"/>
          <w:sz w:val="24"/>
          <w:szCs w:val="24"/>
          <w:lang w:val="en-US"/>
        </w:rPr>
        <w:t>GlobalNewswire</w:t>
      </w:r>
      <w:proofErr w:type="spellEnd"/>
      <w:r w:rsidRPr="005B2A57">
        <w:rPr>
          <w:rFonts w:ascii="Times New Roman" w:hAnsi="Times New Roman" w:cs="Times New Roman"/>
          <w:sz w:val="24"/>
          <w:szCs w:val="24"/>
          <w:lang w:val="en-US"/>
        </w:rPr>
        <w:t>. https://www.globenewswire.com/news-release/2021/07/12/2261222/0/en/The-global-virtual-event-platform-market-size-is-expected-to-grow-at-a-Compound</w:t>
      </w:r>
      <w:r w:rsidRPr="005B2A57">
        <w:rPr>
          <w:rFonts w:ascii="Times New Roman" w:hAnsi="Times New Roman" w:cs="Times New Roman"/>
          <w:sz w:val="24"/>
          <w:szCs w:val="24"/>
          <w:lang w:val="en-US"/>
        </w:rPr>
        <w:t>-Annual-Growth-Rate-CAGR-of-12-7.html</w:t>
      </w:r>
    </w:p>
    <w:p w14:paraId="2852BD2B" w14:textId="77777777" w:rsidR="00036587" w:rsidRPr="005B2A57" w:rsidRDefault="00036587" w:rsidP="00A50A74">
      <w:pPr>
        <w:spacing w:after="0" w:line="480" w:lineRule="auto"/>
        <w:rPr>
          <w:rFonts w:ascii="Times New Roman" w:hAnsi="Times New Roman" w:cs="Times New Roman"/>
          <w:sz w:val="24"/>
          <w:szCs w:val="24"/>
          <w:lang w:val="en-US"/>
        </w:rPr>
      </w:pPr>
    </w:p>
    <w:p w14:paraId="092FD37F" w14:textId="77777777" w:rsidR="00036587" w:rsidRPr="005B2A57" w:rsidRDefault="00C50426" w:rsidP="00A50A74">
      <w:pPr>
        <w:spacing w:after="0" w:line="480" w:lineRule="auto"/>
        <w:rPr>
          <w:rFonts w:ascii="Times New Roman" w:hAnsi="Times New Roman" w:cs="Times New Roman"/>
          <w:sz w:val="24"/>
          <w:szCs w:val="24"/>
          <w:lang w:val="en-US"/>
        </w:rPr>
      </w:pPr>
      <w:proofErr w:type="spellStart"/>
      <w:r w:rsidRPr="005B2A57">
        <w:rPr>
          <w:rFonts w:ascii="Times New Roman" w:hAnsi="Times New Roman" w:cs="Times New Roman"/>
          <w:sz w:val="24"/>
          <w:szCs w:val="24"/>
          <w:lang w:val="en-US"/>
        </w:rPr>
        <w:lastRenderedPageBreak/>
        <w:t>Rivenburgh</w:t>
      </w:r>
      <w:proofErr w:type="spellEnd"/>
      <w:r w:rsidRPr="005B2A57">
        <w:rPr>
          <w:rFonts w:ascii="Times New Roman" w:hAnsi="Times New Roman" w:cs="Times New Roman"/>
          <w:sz w:val="24"/>
          <w:szCs w:val="24"/>
          <w:lang w:val="en-US"/>
        </w:rPr>
        <w:t xml:space="preserve">, N. K. (2009). In pursuit of a global image: media events as political communication. In N. </w:t>
      </w:r>
      <w:proofErr w:type="spellStart"/>
      <w:r w:rsidRPr="005B2A57">
        <w:rPr>
          <w:rFonts w:ascii="Times New Roman" w:hAnsi="Times New Roman" w:cs="Times New Roman"/>
          <w:sz w:val="24"/>
          <w:szCs w:val="24"/>
          <w:lang w:val="en-US"/>
        </w:rPr>
        <w:t>Couldry</w:t>
      </w:r>
      <w:proofErr w:type="spellEnd"/>
      <w:r w:rsidRPr="005B2A57">
        <w:rPr>
          <w:rFonts w:ascii="Times New Roman" w:hAnsi="Times New Roman" w:cs="Times New Roman"/>
          <w:sz w:val="24"/>
          <w:szCs w:val="24"/>
          <w:lang w:val="en-US"/>
        </w:rPr>
        <w:t xml:space="preserve">, A. </w:t>
      </w:r>
      <w:proofErr w:type="spellStart"/>
      <w:r w:rsidRPr="005B2A57">
        <w:rPr>
          <w:rFonts w:ascii="Times New Roman" w:hAnsi="Times New Roman" w:cs="Times New Roman"/>
          <w:sz w:val="24"/>
          <w:szCs w:val="24"/>
          <w:lang w:val="en-US"/>
        </w:rPr>
        <w:t>Hepp</w:t>
      </w:r>
      <w:proofErr w:type="spellEnd"/>
      <w:r w:rsidRPr="005B2A57">
        <w:rPr>
          <w:rFonts w:ascii="Times New Roman" w:hAnsi="Times New Roman" w:cs="Times New Roman"/>
          <w:sz w:val="24"/>
          <w:szCs w:val="24"/>
          <w:lang w:val="en-US"/>
        </w:rPr>
        <w:t xml:space="preserve"> &amp; F. </w:t>
      </w:r>
      <w:proofErr w:type="spellStart"/>
      <w:r w:rsidRPr="005B2A57">
        <w:rPr>
          <w:rFonts w:ascii="Times New Roman" w:hAnsi="Times New Roman" w:cs="Times New Roman"/>
          <w:sz w:val="24"/>
          <w:szCs w:val="24"/>
          <w:lang w:val="en-US"/>
        </w:rPr>
        <w:t>Krotz</w:t>
      </w:r>
      <w:proofErr w:type="spellEnd"/>
      <w:r w:rsidRPr="005B2A57">
        <w:rPr>
          <w:rFonts w:ascii="Times New Roman" w:hAnsi="Times New Roman" w:cs="Times New Roman"/>
          <w:sz w:val="24"/>
          <w:szCs w:val="24"/>
          <w:lang w:val="en-US"/>
        </w:rPr>
        <w:t xml:space="preserve"> (eds.), Media events in a global age (pp. 193-208). Routledge.</w:t>
      </w:r>
    </w:p>
    <w:p w14:paraId="0AD15D72" w14:textId="77777777" w:rsidR="00036587" w:rsidRPr="005B2A57" w:rsidRDefault="00036587" w:rsidP="00A50A74">
      <w:pPr>
        <w:spacing w:after="0" w:line="480" w:lineRule="auto"/>
        <w:rPr>
          <w:rFonts w:ascii="Times New Roman" w:hAnsi="Times New Roman" w:cs="Times New Roman"/>
          <w:sz w:val="24"/>
          <w:szCs w:val="24"/>
          <w:lang w:val="en-US"/>
        </w:rPr>
      </w:pPr>
    </w:p>
    <w:p w14:paraId="1CFA9BA2" w14:textId="77777777"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 xml:space="preserve">Robertson, C. (2018). </w:t>
      </w:r>
      <w:r w:rsidRPr="005B2A57">
        <w:rPr>
          <w:rFonts w:ascii="Times New Roman" w:hAnsi="Times New Roman" w:cs="Times New Roman"/>
          <w:sz w:val="24"/>
          <w:szCs w:val="24"/>
          <w:lang w:val="en-US"/>
        </w:rPr>
        <w:t>The Media Event Build-Up Phase: A Site of Contestation and Counternarratives. International Journal of Communication, 12, 3207–3226.</w:t>
      </w:r>
    </w:p>
    <w:p w14:paraId="553158B0" w14:textId="77777777" w:rsidR="00036587" w:rsidRPr="005B2A57" w:rsidRDefault="00036587" w:rsidP="00A50A74">
      <w:pPr>
        <w:spacing w:after="0" w:line="480" w:lineRule="auto"/>
        <w:rPr>
          <w:rFonts w:ascii="Times New Roman" w:hAnsi="Times New Roman" w:cs="Times New Roman"/>
          <w:sz w:val="24"/>
          <w:szCs w:val="24"/>
          <w:lang w:val="en-US"/>
        </w:rPr>
      </w:pPr>
    </w:p>
    <w:p w14:paraId="612432AD" w14:textId="77777777"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 xml:space="preserve">Samuels, R. (2021). </w:t>
      </w:r>
      <w:r w:rsidRPr="005B2A57">
        <w:rPr>
          <w:rFonts w:ascii="Times New Roman" w:hAnsi="Times New Roman" w:cs="Times New Roman"/>
          <w:i/>
          <w:sz w:val="24"/>
          <w:szCs w:val="24"/>
          <w:lang w:val="en-US"/>
        </w:rPr>
        <w:t>Generation X and the Rise of the Entertainment Subject</w:t>
      </w:r>
      <w:r w:rsidRPr="005B2A57">
        <w:rPr>
          <w:rFonts w:ascii="Times New Roman" w:hAnsi="Times New Roman" w:cs="Times New Roman"/>
          <w:sz w:val="24"/>
          <w:szCs w:val="24"/>
          <w:lang w:val="en-US"/>
        </w:rPr>
        <w:t>. Lexington Books.</w:t>
      </w:r>
    </w:p>
    <w:p w14:paraId="44B8EF6A" w14:textId="77777777" w:rsidR="00036587" w:rsidRPr="005B2A57" w:rsidRDefault="00036587" w:rsidP="00A50A74">
      <w:pPr>
        <w:spacing w:after="0" w:line="480" w:lineRule="auto"/>
        <w:rPr>
          <w:rFonts w:ascii="Times New Roman" w:hAnsi="Times New Roman" w:cs="Times New Roman"/>
          <w:sz w:val="24"/>
          <w:szCs w:val="24"/>
          <w:lang w:val="en-US"/>
        </w:rPr>
      </w:pPr>
    </w:p>
    <w:p w14:paraId="05C583D0" w14:textId="77777777" w:rsidR="00036587" w:rsidRPr="005B2A57" w:rsidRDefault="00C50426" w:rsidP="00A50A74">
      <w:pPr>
        <w:spacing w:after="0" w:line="480" w:lineRule="auto"/>
        <w:rPr>
          <w:rFonts w:ascii="Times New Roman" w:hAnsi="Times New Roman" w:cs="Times New Roman"/>
          <w:sz w:val="24"/>
          <w:szCs w:val="24"/>
          <w:lang w:val="en-US"/>
        </w:rPr>
      </w:pPr>
      <w:proofErr w:type="spellStart"/>
      <w:r w:rsidRPr="005B2A57">
        <w:rPr>
          <w:rFonts w:ascii="Times New Roman" w:hAnsi="Times New Roman" w:cs="Times New Roman"/>
          <w:sz w:val="24"/>
          <w:szCs w:val="24"/>
          <w:lang w:val="en-US"/>
        </w:rPr>
        <w:t>Sheth</w:t>
      </w:r>
      <w:proofErr w:type="spellEnd"/>
      <w:r w:rsidRPr="005B2A57">
        <w:rPr>
          <w:rFonts w:ascii="Times New Roman" w:hAnsi="Times New Roman" w:cs="Times New Roman"/>
          <w:sz w:val="24"/>
          <w:szCs w:val="24"/>
          <w:lang w:val="en-US"/>
        </w:rPr>
        <w:t xml:space="preserve">, H. (2018, September 18, 2018). Takeaways from MOVE Global Mobility Summit 2018. </w:t>
      </w:r>
      <w:proofErr w:type="spellStart"/>
      <w:r w:rsidRPr="005B2A57">
        <w:rPr>
          <w:rFonts w:ascii="Times New Roman" w:hAnsi="Times New Roman" w:cs="Times New Roman"/>
          <w:i/>
          <w:sz w:val="24"/>
          <w:szCs w:val="24"/>
          <w:lang w:val="en-US"/>
        </w:rPr>
        <w:t>Hubilo</w:t>
      </w:r>
      <w:proofErr w:type="spellEnd"/>
      <w:r w:rsidRPr="005B2A57">
        <w:rPr>
          <w:rFonts w:ascii="Times New Roman" w:hAnsi="Times New Roman" w:cs="Times New Roman"/>
          <w:sz w:val="24"/>
          <w:szCs w:val="24"/>
          <w:lang w:val="en-US"/>
        </w:rPr>
        <w:t>. https://blog.hubilo.com/takeaways-hubilo-move-global-mobility-summit-2018/</w:t>
      </w:r>
    </w:p>
    <w:p w14:paraId="055E6EED" w14:textId="77777777" w:rsidR="00036587" w:rsidRPr="005B2A57" w:rsidRDefault="00036587" w:rsidP="00A50A74">
      <w:pPr>
        <w:spacing w:after="0" w:line="480" w:lineRule="auto"/>
        <w:rPr>
          <w:rFonts w:ascii="Times New Roman" w:hAnsi="Times New Roman" w:cs="Times New Roman"/>
          <w:sz w:val="24"/>
          <w:szCs w:val="24"/>
          <w:lang w:val="en-US"/>
        </w:rPr>
      </w:pPr>
    </w:p>
    <w:p w14:paraId="12D21B98" w14:textId="77777777"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Stake, R. E. (1995), The Art of Case Study Research, Sage</w:t>
      </w:r>
    </w:p>
    <w:p w14:paraId="2179511D" w14:textId="77777777" w:rsidR="00036587" w:rsidRPr="005B2A57" w:rsidRDefault="00036587" w:rsidP="00A50A74">
      <w:pPr>
        <w:spacing w:after="0" w:line="480" w:lineRule="auto"/>
        <w:rPr>
          <w:rFonts w:ascii="Times New Roman" w:hAnsi="Times New Roman" w:cs="Times New Roman"/>
          <w:sz w:val="24"/>
          <w:szCs w:val="24"/>
          <w:lang w:val="en-US"/>
        </w:rPr>
      </w:pPr>
    </w:p>
    <w:p w14:paraId="46299688" w14:textId="77777777" w:rsidR="00036587" w:rsidRPr="005B2A57" w:rsidRDefault="00C50426" w:rsidP="00A50A74">
      <w:pPr>
        <w:spacing w:after="0" w:line="480" w:lineRule="auto"/>
        <w:rPr>
          <w:rFonts w:ascii="Times New Roman" w:hAnsi="Times New Roman" w:cs="Times New Roman"/>
          <w:sz w:val="24"/>
          <w:szCs w:val="24"/>
          <w:lang w:val="en-US"/>
        </w:rPr>
      </w:pPr>
      <w:proofErr w:type="spellStart"/>
      <w:r w:rsidRPr="005B2A57">
        <w:rPr>
          <w:rFonts w:ascii="Times New Roman" w:hAnsi="Times New Roman" w:cs="Times New Roman"/>
          <w:sz w:val="24"/>
          <w:szCs w:val="24"/>
          <w:lang w:val="en-US"/>
        </w:rPr>
        <w:t>Tolvanen</w:t>
      </w:r>
      <w:proofErr w:type="spellEnd"/>
      <w:r w:rsidRPr="005B2A57">
        <w:rPr>
          <w:rFonts w:ascii="Times New Roman" w:hAnsi="Times New Roman" w:cs="Times New Roman"/>
          <w:sz w:val="24"/>
          <w:szCs w:val="24"/>
          <w:lang w:val="en-US"/>
        </w:rPr>
        <w:t>, N. (2016). Pre-e</w:t>
      </w:r>
      <w:r w:rsidRPr="005B2A57">
        <w:rPr>
          <w:rFonts w:ascii="Times New Roman" w:hAnsi="Times New Roman" w:cs="Times New Roman"/>
          <w:sz w:val="24"/>
          <w:szCs w:val="24"/>
          <w:lang w:val="en-US"/>
        </w:rPr>
        <w:t xml:space="preserve">vent Social Media Marketing To Promote Ticket Sales: Case: </w:t>
      </w:r>
      <w:proofErr w:type="spellStart"/>
      <w:r w:rsidRPr="005B2A57">
        <w:rPr>
          <w:rFonts w:ascii="Times New Roman" w:hAnsi="Times New Roman" w:cs="Times New Roman"/>
          <w:sz w:val="24"/>
          <w:szCs w:val="24"/>
          <w:lang w:val="en-US"/>
        </w:rPr>
        <w:t>Eläköön</w:t>
      </w:r>
      <w:proofErr w:type="spellEnd"/>
      <w:r w:rsidRPr="005B2A57">
        <w:rPr>
          <w:rFonts w:ascii="Times New Roman" w:hAnsi="Times New Roman" w:cs="Times New Roman"/>
          <w:sz w:val="24"/>
          <w:szCs w:val="24"/>
          <w:lang w:val="en-US"/>
        </w:rPr>
        <w:t xml:space="preserve"> </w:t>
      </w:r>
      <w:proofErr w:type="spellStart"/>
      <w:r w:rsidRPr="005B2A57">
        <w:rPr>
          <w:rFonts w:ascii="Times New Roman" w:hAnsi="Times New Roman" w:cs="Times New Roman"/>
          <w:sz w:val="24"/>
          <w:szCs w:val="24"/>
          <w:lang w:val="en-US"/>
        </w:rPr>
        <w:t>koirat</w:t>
      </w:r>
      <w:proofErr w:type="spellEnd"/>
      <w:r w:rsidRPr="005B2A57">
        <w:rPr>
          <w:rFonts w:ascii="Times New Roman" w:hAnsi="Times New Roman" w:cs="Times New Roman"/>
          <w:sz w:val="24"/>
          <w:szCs w:val="24"/>
          <w:lang w:val="en-US"/>
        </w:rPr>
        <w:t>!. Bachelor’s thesis. https://www.theseus.fi/handle/10024/118506</w:t>
      </w:r>
    </w:p>
    <w:p w14:paraId="4480C6CF" w14:textId="77777777" w:rsidR="00036587" w:rsidRPr="005B2A57" w:rsidRDefault="00036587" w:rsidP="00A50A74">
      <w:pPr>
        <w:spacing w:after="0" w:line="480" w:lineRule="auto"/>
        <w:rPr>
          <w:rFonts w:ascii="Times New Roman" w:hAnsi="Times New Roman" w:cs="Times New Roman"/>
          <w:sz w:val="24"/>
          <w:szCs w:val="24"/>
          <w:lang w:val="en-US"/>
        </w:rPr>
      </w:pPr>
    </w:p>
    <w:p w14:paraId="1B57C027" w14:textId="77777777"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 xml:space="preserve">UN DESA. (2020). </w:t>
      </w:r>
      <w:r w:rsidRPr="005B2A57">
        <w:rPr>
          <w:rFonts w:ascii="Times New Roman" w:hAnsi="Times New Roman" w:cs="Times New Roman"/>
          <w:i/>
          <w:sz w:val="24"/>
          <w:szCs w:val="24"/>
          <w:lang w:val="en-US"/>
        </w:rPr>
        <w:t>The new normal is digital</w:t>
      </w:r>
      <w:r w:rsidRPr="005B2A57">
        <w:rPr>
          <w:rFonts w:ascii="Times New Roman" w:hAnsi="Times New Roman" w:cs="Times New Roman"/>
          <w:sz w:val="24"/>
          <w:szCs w:val="24"/>
          <w:lang w:val="en-US"/>
        </w:rPr>
        <w:t>. United Nations Department of Economic and Social Affairs. https://www.un.</w:t>
      </w:r>
      <w:r w:rsidRPr="005B2A57">
        <w:rPr>
          <w:rFonts w:ascii="Times New Roman" w:hAnsi="Times New Roman" w:cs="Times New Roman"/>
          <w:sz w:val="24"/>
          <w:szCs w:val="24"/>
          <w:lang w:val="en-US"/>
        </w:rPr>
        <w:t>org/en/desa/new-normal-digital</w:t>
      </w:r>
    </w:p>
    <w:p w14:paraId="1073608D" w14:textId="77777777" w:rsidR="00036587" w:rsidRPr="005B2A57" w:rsidRDefault="00036587" w:rsidP="00A50A74">
      <w:pPr>
        <w:spacing w:after="0" w:line="480" w:lineRule="auto"/>
        <w:rPr>
          <w:rFonts w:ascii="Times New Roman" w:hAnsi="Times New Roman" w:cs="Times New Roman"/>
          <w:sz w:val="24"/>
          <w:szCs w:val="24"/>
          <w:lang w:val="en-US"/>
        </w:rPr>
      </w:pPr>
    </w:p>
    <w:p w14:paraId="354BC688" w14:textId="77777777"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Yin, R. K. 1981, ‘The Case Study as a Serious Research Strategy’, Science Communication, 3(97), 97–114. https://doi.org/10.1177/107554708100300106</w:t>
      </w:r>
    </w:p>
    <w:p w14:paraId="370C29EC" w14:textId="77777777" w:rsidR="00036587" w:rsidRPr="005B2A57" w:rsidRDefault="00036587" w:rsidP="00A50A74">
      <w:pPr>
        <w:spacing w:after="0" w:line="480" w:lineRule="auto"/>
        <w:rPr>
          <w:rFonts w:ascii="Times New Roman" w:hAnsi="Times New Roman" w:cs="Times New Roman"/>
          <w:sz w:val="24"/>
          <w:szCs w:val="24"/>
          <w:lang w:val="en-US"/>
        </w:rPr>
      </w:pPr>
    </w:p>
    <w:p w14:paraId="68B10664" w14:textId="77777777" w:rsidR="00036587" w:rsidRPr="005B2A57" w:rsidRDefault="00C50426" w:rsidP="00A50A74">
      <w:pPr>
        <w:spacing w:after="0" w:line="480" w:lineRule="auto"/>
        <w:rPr>
          <w:rFonts w:ascii="Times New Roman" w:hAnsi="Times New Roman" w:cs="Times New Roman"/>
          <w:sz w:val="24"/>
          <w:szCs w:val="24"/>
          <w:lang w:val="en-US"/>
        </w:rPr>
      </w:pPr>
      <w:proofErr w:type="spellStart"/>
      <w:r w:rsidRPr="005B2A57">
        <w:rPr>
          <w:rFonts w:ascii="Times New Roman" w:hAnsi="Times New Roman" w:cs="Times New Roman"/>
          <w:sz w:val="24"/>
          <w:szCs w:val="24"/>
          <w:lang w:val="en-US"/>
        </w:rPr>
        <w:lastRenderedPageBreak/>
        <w:t>Zuev</w:t>
      </w:r>
      <w:proofErr w:type="spellEnd"/>
      <w:r w:rsidRPr="005B2A57">
        <w:rPr>
          <w:rFonts w:ascii="Times New Roman" w:hAnsi="Times New Roman" w:cs="Times New Roman"/>
          <w:sz w:val="24"/>
          <w:szCs w:val="24"/>
          <w:lang w:val="en-US"/>
        </w:rPr>
        <w:t xml:space="preserve">, D. (2016). Visual methods in event studies. Approaches and methods in </w:t>
      </w:r>
      <w:r w:rsidRPr="005B2A57">
        <w:rPr>
          <w:rFonts w:ascii="Times New Roman" w:hAnsi="Times New Roman" w:cs="Times New Roman"/>
          <w:sz w:val="24"/>
          <w:szCs w:val="24"/>
          <w:lang w:val="en-US"/>
        </w:rPr>
        <w:t>event studies, 96-119.</w:t>
      </w:r>
    </w:p>
    <w:p w14:paraId="6A4F2B5A" w14:textId="77777777" w:rsidR="00036587" w:rsidRPr="005B2A57" w:rsidRDefault="00036587" w:rsidP="00A50A74">
      <w:pPr>
        <w:spacing w:after="0" w:line="480" w:lineRule="auto"/>
        <w:rPr>
          <w:rFonts w:ascii="Times New Roman" w:hAnsi="Times New Roman" w:cs="Times New Roman"/>
          <w:sz w:val="24"/>
          <w:szCs w:val="24"/>
          <w:lang w:val="en-US"/>
        </w:rPr>
      </w:pPr>
    </w:p>
    <w:p w14:paraId="7A3F13A7" w14:textId="77777777" w:rsidR="00036587" w:rsidRPr="005B2A57" w:rsidRDefault="00036587" w:rsidP="00A50A74">
      <w:pPr>
        <w:spacing w:after="0" w:line="480" w:lineRule="auto"/>
        <w:rPr>
          <w:rFonts w:ascii="Times New Roman" w:hAnsi="Times New Roman" w:cs="Times New Roman"/>
          <w:sz w:val="24"/>
          <w:szCs w:val="24"/>
          <w:lang w:val="en-US"/>
        </w:rPr>
      </w:pPr>
    </w:p>
    <w:p w14:paraId="60E1E673" w14:textId="77777777" w:rsidR="00036587" w:rsidRPr="005B2A57" w:rsidRDefault="00C50426" w:rsidP="00A50A74">
      <w:pPr>
        <w:spacing w:after="0" w:line="480" w:lineRule="auto"/>
        <w:jc w:val="center"/>
        <w:rPr>
          <w:rFonts w:ascii="Times New Roman" w:hAnsi="Times New Roman" w:cs="Times New Roman"/>
          <w:b/>
          <w:sz w:val="24"/>
          <w:szCs w:val="24"/>
          <w:lang w:val="en-US"/>
        </w:rPr>
      </w:pPr>
      <w:r w:rsidRPr="005B2A57">
        <w:rPr>
          <w:rFonts w:ascii="Times New Roman" w:hAnsi="Times New Roman" w:cs="Times New Roman"/>
          <w:b/>
          <w:sz w:val="24"/>
          <w:szCs w:val="24"/>
          <w:lang w:val="en-US"/>
        </w:rPr>
        <w:t>Appendix</w:t>
      </w:r>
    </w:p>
    <w:p w14:paraId="5552C27C" w14:textId="77777777" w:rsidR="00036587" w:rsidRPr="005B2A57" w:rsidRDefault="00036587" w:rsidP="00A50A74">
      <w:pPr>
        <w:spacing w:after="0" w:line="480" w:lineRule="auto"/>
        <w:rPr>
          <w:rFonts w:ascii="Times New Roman" w:hAnsi="Times New Roman" w:cs="Times New Roman"/>
          <w:sz w:val="24"/>
          <w:szCs w:val="24"/>
          <w:lang w:val="en-US"/>
        </w:rPr>
      </w:pPr>
    </w:p>
    <w:p w14:paraId="62FC00C9" w14:textId="77777777" w:rsidR="00036587" w:rsidRPr="005B2A57" w:rsidRDefault="00C50426" w:rsidP="00A50A74">
      <w:p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The following countries had EXPO-focused social media channels (as found during the data-gathering stage).</w:t>
      </w:r>
    </w:p>
    <w:p w14:paraId="78B714E1" w14:textId="77777777" w:rsidR="00036587" w:rsidRPr="005B2A57" w:rsidRDefault="00C50426" w:rsidP="00A50A74">
      <w:pPr>
        <w:numPr>
          <w:ilvl w:val="0"/>
          <w:numId w:val="4"/>
        </w:num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Australia</w:t>
      </w:r>
    </w:p>
    <w:p w14:paraId="22A8F13A" w14:textId="77777777" w:rsidR="00036587" w:rsidRPr="005B2A57" w:rsidRDefault="00C50426" w:rsidP="00A50A74">
      <w:pPr>
        <w:numPr>
          <w:ilvl w:val="0"/>
          <w:numId w:val="4"/>
        </w:num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Burundi</w:t>
      </w:r>
    </w:p>
    <w:p w14:paraId="463B10B7" w14:textId="77777777" w:rsidR="00036587" w:rsidRPr="005B2A57" w:rsidRDefault="00C50426" w:rsidP="00A50A74">
      <w:pPr>
        <w:numPr>
          <w:ilvl w:val="0"/>
          <w:numId w:val="4"/>
        </w:num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Finland</w:t>
      </w:r>
    </w:p>
    <w:p w14:paraId="62FD23BB" w14:textId="77777777" w:rsidR="00036587" w:rsidRPr="005B2A57" w:rsidRDefault="00C50426" w:rsidP="00A50A74">
      <w:pPr>
        <w:numPr>
          <w:ilvl w:val="0"/>
          <w:numId w:val="4"/>
        </w:num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France</w:t>
      </w:r>
    </w:p>
    <w:p w14:paraId="2450A250" w14:textId="77777777" w:rsidR="00036587" w:rsidRPr="005B2A57" w:rsidRDefault="00C50426" w:rsidP="00A50A74">
      <w:pPr>
        <w:numPr>
          <w:ilvl w:val="0"/>
          <w:numId w:val="4"/>
        </w:num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India [website available, but not working at the time of data-gathering]</w:t>
      </w:r>
    </w:p>
    <w:p w14:paraId="446FA7AF" w14:textId="77777777" w:rsidR="00036587" w:rsidRPr="005B2A57" w:rsidRDefault="00C50426" w:rsidP="00A50A74">
      <w:pPr>
        <w:numPr>
          <w:ilvl w:val="0"/>
          <w:numId w:val="4"/>
        </w:num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Indonesi</w:t>
      </w:r>
      <w:r w:rsidRPr="005B2A57">
        <w:rPr>
          <w:rFonts w:ascii="Times New Roman" w:hAnsi="Times New Roman" w:cs="Times New Roman"/>
          <w:sz w:val="24"/>
          <w:szCs w:val="24"/>
          <w:lang w:val="en-US"/>
        </w:rPr>
        <w:t>a</w:t>
      </w:r>
    </w:p>
    <w:p w14:paraId="0A80CF80" w14:textId="77777777" w:rsidR="00036587" w:rsidRPr="005B2A57" w:rsidRDefault="00C50426" w:rsidP="00A50A74">
      <w:pPr>
        <w:numPr>
          <w:ilvl w:val="0"/>
          <w:numId w:val="4"/>
        </w:num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Iran</w:t>
      </w:r>
    </w:p>
    <w:p w14:paraId="0AA51CB2" w14:textId="77777777" w:rsidR="00036587" w:rsidRPr="005B2A57" w:rsidRDefault="00C50426" w:rsidP="00A50A74">
      <w:pPr>
        <w:numPr>
          <w:ilvl w:val="0"/>
          <w:numId w:val="4"/>
        </w:num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Ireland</w:t>
      </w:r>
    </w:p>
    <w:p w14:paraId="7B4A9F2B" w14:textId="77777777" w:rsidR="00036587" w:rsidRPr="005B2A57" w:rsidRDefault="00C50426" w:rsidP="00A50A74">
      <w:pPr>
        <w:numPr>
          <w:ilvl w:val="0"/>
          <w:numId w:val="4"/>
        </w:num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Italy</w:t>
      </w:r>
    </w:p>
    <w:p w14:paraId="78C931E6" w14:textId="77777777" w:rsidR="00036587" w:rsidRPr="005B2A57" w:rsidRDefault="00C50426" w:rsidP="00A50A74">
      <w:pPr>
        <w:numPr>
          <w:ilvl w:val="0"/>
          <w:numId w:val="4"/>
        </w:num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Luxembourg</w:t>
      </w:r>
    </w:p>
    <w:p w14:paraId="598C395E" w14:textId="77777777" w:rsidR="00036587" w:rsidRPr="005B2A57" w:rsidRDefault="00C50426" w:rsidP="00A50A74">
      <w:pPr>
        <w:numPr>
          <w:ilvl w:val="0"/>
          <w:numId w:val="4"/>
        </w:num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Peru</w:t>
      </w:r>
    </w:p>
    <w:p w14:paraId="7381ABE1" w14:textId="77777777" w:rsidR="00036587" w:rsidRPr="005B2A57" w:rsidRDefault="00C50426" w:rsidP="00A50A74">
      <w:pPr>
        <w:numPr>
          <w:ilvl w:val="0"/>
          <w:numId w:val="4"/>
        </w:num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Portugal</w:t>
      </w:r>
    </w:p>
    <w:p w14:paraId="50ABC3AF" w14:textId="77777777" w:rsidR="00036587" w:rsidRPr="005B2A57" w:rsidRDefault="00C50426" w:rsidP="00A50A74">
      <w:pPr>
        <w:numPr>
          <w:ilvl w:val="0"/>
          <w:numId w:val="4"/>
        </w:num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Singapore</w:t>
      </w:r>
    </w:p>
    <w:p w14:paraId="687EEE9B" w14:textId="77777777" w:rsidR="00036587" w:rsidRPr="005B2A57" w:rsidRDefault="00C50426" w:rsidP="00A50A74">
      <w:pPr>
        <w:numPr>
          <w:ilvl w:val="0"/>
          <w:numId w:val="4"/>
        </w:num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Switzerland</w:t>
      </w:r>
    </w:p>
    <w:p w14:paraId="6894AEEF" w14:textId="77777777" w:rsidR="00036587" w:rsidRPr="005B2A57" w:rsidRDefault="00C50426" w:rsidP="00A50A74">
      <w:pPr>
        <w:numPr>
          <w:ilvl w:val="0"/>
          <w:numId w:val="4"/>
        </w:num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UK</w:t>
      </w:r>
    </w:p>
    <w:p w14:paraId="2B0805FB" w14:textId="77777777" w:rsidR="00036587" w:rsidRPr="005B2A57" w:rsidRDefault="00C50426" w:rsidP="00A50A74">
      <w:pPr>
        <w:numPr>
          <w:ilvl w:val="0"/>
          <w:numId w:val="4"/>
        </w:numPr>
        <w:spacing w:after="0" w:line="480" w:lineRule="auto"/>
        <w:rPr>
          <w:rFonts w:ascii="Times New Roman" w:hAnsi="Times New Roman" w:cs="Times New Roman"/>
          <w:sz w:val="24"/>
          <w:szCs w:val="24"/>
          <w:lang w:val="en-US"/>
        </w:rPr>
      </w:pPr>
      <w:r w:rsidRPr="005B2A57">
        <w:rPr>
          <w:rFonts w:ascii="Times New Roman" w:hAnsi="Times New Roman" w:cs="Times New Roman"/>
          <w:sz w:val="24"/>
          <w:szCs w:val="24"/>
          <w:lang w:val="en-US"/>
        </w:rPr>
        <w:t>USA</w:t>
      </w:r>
    </w:p>
    <w:p w14:paraId="636B73F9" w14:textId="77777777" w:rsidR="00036587" w:rsidRPr="005B2A57" w:rsidRDefault="00C50426">
      <w:pPr>
        <w:spacing w:after="0" w:line="240" w:lineRule="auto"/>
        <w:rPr>
          <w:lang w:val="en-US"/>
        </w:rPr>
      </w:pPr>
      <w:r w:rsidRPr="005B2A57">
        <w:rPr>
          <w:lang w:val="en-US"/>
        </w:rPr>
        <w:t xml:space="preserve"> </w:t>
      </w:r>
    </w:p>
    <w:sectPr w:rsidR="00036587" w:rsidRPr="005B2A57">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A24E34"/>
    <w:multiLevelType w:val="multilevel"/>
    <w:tmpl w:val="C22EFC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55433A36"/>
    <w:multiLevelType w:val="multilevel"/>
    <w:tmpl w:val="D6586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5E95BFE"/>
    <w:multiLevelType w:val="multilevel"/>
    <w:tmpl w:val="C14C138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6A6E3C21"/>
    <w:multiLevelType w:val="multilevel"/>
    <w:tmpl w:val="EA22B2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6FEC0CF6"/>
    <w:multiLevelType w:val="hybridMultilevel"/>
    <w:tmpl w:val="DA742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0B35D42"/>
    <w:multiLevelType w:val="multilevel"/>
    <w:tmpl w:val="E7204E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46460D0"/>
    <w:multiLevelType w:val="multilevel"/>
    <w:tmpl w:val="A06E474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0"/>
  </w:num>
  <w:num w:numId="2">
    <w:abstractNumId w:val="6"/>
  </w:num>
  <w:num w:numId="3">
    <w:abstractNumId w:val="5"/>
  </w:num>
  <w:num w:numId="4">
    <w:abstractNumId w:val="1"/>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587"/>
    <w:rsid w:val="00036587"/>
    <w:rsid w:val="003C48B5"/>
    <w:rsid w:val="005B2A57"/>
    <w:rsid w:val="008E7199"/>
    <w:rsid w:val="00A50A74"/>
    <w:rsid w:val="00C504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9BF36"/>
  <w15:docId w15:val="{F8C1C110-6C99-EB4C-84DE-2090D253A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AU"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8E59D1"/>
    <w:rPr>
      <w:color w:val="0563C1" w:themeColor="hyperlink"/>
      <w:u w:val="single"/>
    </w:rPr>
  </w:style>
  <w:style w:type="character" w:styleId="UnresolvedMention">
    <w:name w:val="Unresolved Mention"/>
    <w:basedOn w:val="DefaultParagraphFont"/>
    <w:uiPriority w:val="99"/>
    <w:semiHidden/>
    <w:unhideWhenUsed/>
    <w:rsid w:val="008E59D1"/>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C504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oJi8aj8UhEou4un0fhwAGvmBPQ==">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</go:docsCustomData>
</go:gDocsCustomXmlDataStorage>
</file>

<file path=customXml/item2.xml><?xml version="1.0" encoding="utf-8"?>
<b:Sources xmlns:b="http://schemas.openxmlformats.org/officeDocument/2006/bibliography" StyleName="Chicago" SelectedStyle="/Chicago.xsl" Version="16">
  <b:Source>
    <b:Tag>source1</b:Tag>
    <b:Year>2017</b:Year>
    <b:SourceType>BookSection</b:SourceType>
    <b:Title>Speed watching, efficiency, and the new temporalities of digital spectatorship</b:Title>
    <b:BookTitle>Compact cinematics: The moving image in the age of bit-sized media</b:BookTitle>
    <b:Publisher>Bloomsbury Publishing</b:Publisher>
    <b:Gdcea>{"AccessedType":"Print"}</b:Gdcea>
    <b:Author>
      <b:Author>
        <b:NameList>
          <b:Person>
            <b:First>Neta</b:First>
            <b:Last>Alexander</b:Last>
          </b:Person>
        </b:NameList>
      </b:Author>
    </b:Autho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27</Pages>
  <Words>6213</Words>
  <Characters>35914</Characters>
  <Application>Microsoft Office Word</Application>
  <DocSecurity>0</DocSecurity>
  <Lines>641</Lines>
  <Paragraphs>160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41967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Luigi Di Martino</cp:lastModifiedBy>
  <cp:revision>3</cp:revision>
  <dcterms:created xsi:type="dcterms:W3CDTF">2022-03-11T04:29:00Z</dcterms:created>
  <dcterms:modified xsi:type="dcterms:W3CDTF">2022-03-11T04:38:00Z</dcterms:modified>
  <cp:category/>
</cp:coreProperties>
</file>